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83864A9">
      <w:pPr>
        <w:rPr>
          <w:color w:val="000000"/>
          <w:lang w:eastAsia="zh-CN"/>
        </w:rPr>
      </w:pPr>
      <w:r>
        <w:rPr>
          <w:color w:val="000000"/>
          <w:lang w:eastAsia="zh-CN" w:bidi="ar-SA"/>
        </w:rPr>
        <w:drawing>
          <wp:anchor distT="0" distB="0" distL="114300" distR="114300" simplePos="0" relativeHeight="251660288" behindDoc="0" locked="0" layoutInCell="1" allowOverlap="1">
            <wp:simplePos x="0" y="0"/>
            <wp:positionH relativeFrom="page">
              <wp:posOffset>5313680</wp:posOffset>
            </wp:positionH>
            <wp:positionV relativeFrom="page">
              <wp:posOffset>815975</wp:posOffset>
            </wp:positionV>
            <wp:extent cx="956310" cy="872490"/>
            <wp:effectExtent l="0" t="0" r="0" b="3810"/>
            <wp:wrapNone/>
            <wp:docPr id="5" name="图片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logo"/>
                    <pic:cNvPicPr>
                      <a:picLocks noChangeAspect="1" noChangeArrowheads="1"/>
                    </pic:cNvPicPr>
                  </pic:nvPicPr>
                  <pic:blipFill>
                    <a:blip r:embed="rId13">
                      <a:clrChange>
                        <a:clrFrom>
                          <a:srgbClr val="E7F7EA"/>
                        </a:clrFrom>
                        <a:clrTo>
                          <a:srgbClr val="E7F7EA">
                            <a:alpha val="0"/>
                          </a:srgbClr>
                        </a:clrTo>
                      </a:clrChange>
                      <a:extLst>
                        <a:ext uri="{28A0092B-C50C-407E-A947-70E740481C1C}">
                          <a14:useLocalDpi xmlns:a14="http://schemas.microsoft.com/office/drawing/2010/main" val="0"/>
                        </a:ext>
                      </a:extLst>
                    </a:blip>
                    <a:srcRect/>
                    <a:stretch>
                      <a:fillRect/>
                    </a:stretch>
                  </pic:blipFill>
                  <pic:spPr>
                    <a:xfrm>
                      <a:off x="0" y="0"/>
                      <a:ext cx="956310" cy="872490"/>
                    </a:xfrm>
                    <a:prstGeom prst="rect">
                      <a:avLst/>
                    </a:prstGeom>
                    <a:noFill/>
                  </pic:spPr>
                </pic:pic>
              </a:graphicData>
            </a:graphic>
          </wp:anchor>
        </w:drawing>
      </w:r>
      <w:r>
        <w:rPr>
          <w:color w:val="000000"/>
          <w:lang w:eastAsia="zh-CN"/>
        </w:rPr>
        <w:t>ICS 65.020.30</w:t>
      </w:r>
    </w:p>
    <w:p w14:paraId="067A7BD8">
      <w:pPr>
        <w:rPr>
          <w:color w:val="000000"/>
          <w:lang w:eastAsia="zh-CN"/>
        </w:rPr>
      </w:pPr>
      <w:r>
        <w:rPr>
          <w:rFonts w:hint="eastAsia"/>
          <w:color w:val="000000"/>
          <w:lang w:eastAsia="zh-CN"/>
        </w:rPr>
        <w:t xml:space="preserve">CCS </w:t>
      </w:r>
      <w:r>
        <w:rPr>
          <w:color w:val="000000"/>
          <w:lang w:eastAsia="zh-CN"/>
        </w:rPr>
        <w:t xml:space="preserve">B44 </w:t>
      </w:r>
    </w:p>
    <w:p w14:paraId="23EDB5C8">
      <w:pPr>
        <w:jc w:val="right"/>
        <w:rPr>
          <w:color w:val="000000"/>
          <w:lang w:eastAsia="zh-CN"/>
        </w:rPr>
      </w:pPr>
    </w:p>
    <w:p w14:paraId="716388DA">
      <w:pPr>
        <w:jc w:val="right"/>
        <w:rPr>
          <w:color w:val="000000"/>
          <w:lang w:eastAsia="zh-CN"/>
        </w:rPr>
      </w:pPr>
    </w:p>
    <w:p w14:paraId="1286132D">
      <w:pPr>
        <w:jc w:val="right"/>
        <w:rPr>
          <w:color w:val="000000"/>
          <w:lang w:eastAsia="zh-CN"/>
        </w:rPr>
      </w:pPr>
    </w:p>
    <w:p w14:paraId="3C9A621D">
      <w:pPr>
        <w:ind w:left="240" w:leftChars="100"/>
        <w:jc w:val="distribute"/>
        <w:rPr>
          <w:rFonts w:ascii="微软雅黑" w:hAnsi="微软雅黑" w:eastAsia="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09B2D84B">
      <w:pPr>
        <w:rPr>
          <w:color w:val="000000"/>
          <w:lang w:eastAsia="zh-CN"/>
        </w:rPr>
      </w:pPr>
    </w:p>
    <w:p w14:paraId="2D205BFC">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14:paraId="4D75A8DD">
      <w:pPr>
        <w:rPr>
          <w:color w:val="000000"/>
          <w:u w:val="single"/>
          <w:lang w:eastAsia="zh-CN"/>
        </w:rPr>
      </w:pPr>
      <w:r>
        <w:rPr>
          <w:color w:val="000000"/>
          <w:u w:val="single"/>
          <w:lang w:eastAsia="zh-CN"/>
        </w:rPr>
        <w:t xml:space="preserve">                                                                                           </w:t>
      </w:r>
    </w:p>
    <w:p w14:paraId="35DC09B7">
      <w:pPr>
        <w:rPr>
          <w:color w:val="000000"/>
          <w:lang w:eastAsia="zh-CN"/>
        </w:rPr>
      </w:pPr>
    </w:p>
    <w:p w14:paraId="556D8CBE">
      <w:pPr>
        <w:rPr>
          <w:color w:val="000000"/>
          <w:lang w:eastAsia="zh-CN"/>
        </w:rPr>
      </w:pPr>
    </w:p>
    <w:p w14:paraId="66BD3800">
      <w:pPr>
        <w:jc w:val="center"/>
        <w:rPr>
          <w:rFonts w:ascii="黑体" w:eastAsia="黑体" w:cs="黑体"/>
          <w:color w:val="000000"/>
          <w:spacing w:val="50"/>
          <w:sz w:val="48"/>
          <w:szCs w:val="48"/>
          <w:lang w:eastAsia="zh-CN"/>
        </w:rPr>
      </w:pPr>
    </w:p>
    <w:p w14:paraId="041A562F">
      <w:pPr>
        <w:pStyle w:val="2"/>
        <w:jc w:val="center"/>
        <w:rPr>
          <w:rFonts w:ascii="黑体" w:hAnsi="黑体" w:eastAsia="黑体" w:cs="黑体"/>
          <w:sz w:val="48"/>
          <w:szCs w:val="48"/>
          <w:lang w:eastAsia="zh-CN"/>
        </w:rPr>
      </w:pPr>
      <w:r>
        <w:rPr>
          <w:rFonts w:hint="eastAsia" w:ascii="黑体" w:hAnsi="黑体" w:eastAsia="黑体" w:cs="黑体"/>
          <w:sz w:val="48"/>
          <w:szCs w:val="48"/>
          <w:lang w:eastAsia="zh-CN"/>
        </w:rPr>
        <w:t>实验动物 生物样本库小鼠细小病毒属快速检测方法</w:t>
      </w:r>
    </w:p>
    <w:p w14:paraId="0168F80F">
      <w:pPr>
        <w:rPr>
          <w:rFonts w:ascii="黑体" w:eastAsia="黑体"/>
          <w:color w:val="000000"/>
          <w:spacing w:val="40"/>
          <w:lang w:eastAsia="zh-CN"/>
        </w:rPr>
      </w:pPr>
    </w:p>
    <w:p w14:paraId="7EDF2F08">
      <w:pPr>
        <w:jc w:val="center"/>
        <w:rPr>
          <w:color w:val="000000"/>
          <w:lang w:eastAsia="zh-CN"/>
        </w:rPr>
      </w:pPr>
      <w:r>
        <w:rPr>
          <w:color w:val="000000"/>
        </w:rPr>
        <w:t>Laboratory animal</w:t>
      </w:r>
      <w:r>
        <w:rPr>
          <w:rFonts w:hint="eastAsia"/>
          <w:color w:val="000000"/>
          <w:lang w:eastAsia="zh-CN"/>
        </w:rPr>
        <w:t xml:space="preserve"> - </w:t>
      </w:r>
      <w:r>
        <w:rPr>
          <w:color w:val="000000"/>
          <w:lang w:eastAsia="zh-CN"/>
        </w:rPr>
        <w:t xml:space="preserve">Rapid Detection Method for Mouse Parvovirus </w:t>
      </w:r>
    </w:p>
    <w:p w14:paraId="49691F24">
      <w:pPr>
        <w:jc w:val="center"/>
        <w:rPr>
          <w:color w:val="000000"/>
          <w:lang w:eastAsia="zh-CN"/>
        </w:rPr>
      </w:pPr>
      <w:r>
        <w:rPr>
          <w:color w:val="000000"/>
          <w:lang w:eastAsia="zh-CN"/>
        </w:rPr>
        <w:t xml:space="preserve">in Biobank </w:t>
      </w:r>
    </w:p>
    <w:p w14:paraId="60DC91B0">
      <w:pPr>
        <w:jc w:val="center"/>
        <w:rPr>
          <w:color w:val="000000"/>
          <w:sz w:val="28"/>
          <w:szCs w:val="28"/>
          <w:lang w:eastAsia="zh-CN"/>
        </w:rPr>
      </w:pPr>
      <w:r>
        <w:rPr>
          <w:rFonts w:hint="eastAsia"/>
          <w:color w:val="000000"/>
          <w:sz w:val="28"/>
          <w:szCs w:val="28"/>
          <w:lang w:eastAsia="zh-CN"/>
        </w:rPr>
        <w:t>（征求意见稿）</w:t>
      </w:r>
    </w:p>
    <w:p w14:paraId="08CDFAC9">
      <w:pPr>
        <w:rPr>
          <w:color w:val="000000"/>
          <w:lang w:eastAsia="zh-CN"/>
        </w:rPr>
      </w:pPr>
    </w:p>
    <w:p w14:paraId="611AAF6F">
      <w:pPr>
        <w:jc w:val="center"/>
        <w:rPr>
          <w:color w:val="000000"/>
          <w:sz w:val="30"/>
          <w:szCs w:val="30"/>
          <w:lang w:eastAsia="zh-CN"/>
        </w:rPr>
      </w:pPr>
    </w:p>
    <w:p w14:paraId="57C91AED">
      <w:pPr>
        <w:rPr>
          <w:color w:val="000000"/>
          <w:lang w:eastAsia="zh-CN"/>
        </w:rPr>
      </w:pPr>
    </w:p>
    <w:p w14:paraId="591ADBA0">
      <w:pPr>
        <w:rPr>
          <w:color w:val="000000"/>
          <w:lang w:eastAsia="zh-CN"/>
        </w:rPr>
      </w:pPr>
    </w:p>
    <w:p w14:paraId="766867AE">
      <w:pPr>
        <w:rPr>
          <w:color w:val="000000"/>
          <w:lang w:eastAsia="zh-CN"/>
        </w:rPr>
      </w:pPr>
    </w:p>
    <w:p w14:paraId="1E5E8742">
      <w:pPr>
        <w:rPr>
          <w:color w:val="000000"/>
          <w:lang w:eastAsia="zh-CN"/>
        </w:rPr>
      </w:pPr>
    </w:p>
    <w:p w14:paraId="2B77AAFF">
      <w:pPr>
        <w:rPr>
          <w:color w:val="000000"/>
          <w:lang w:eastAsia="zh-CN"/>
        </w:rPr>
      </w:pPr>
    </w:p>
    <w:p w14:paraId="28E7BF12">
      <w:pPr>
        <w:rPr>
          <w:color w:val="000000"/>
          <w:lang w:eastAsia="zh-CN"/>
        </w:rPr>
      </w:pPr>
    </w:p>
    <w:p w14:paraId="5D99E57C">
      <w:pPr>
        <w:rPr>
          <w:color w:val="000000"/>
          <w:lang w:eastAsia="zh-CN"/>
        </w:rPr>
      </w:pPr>
    </w:p>
    <w:p w14:paraId="60C6EC38">
      <w:pPr>
        <w:rPr>
          <w:color w:val="000000"/>
          <w:lang w:eastAsia="zh-CN"/>
        </w:rPr>
      </w:pPr>
    </w:p>
    <w:p w14:paraId="06188054">
      <w:pPr>
        <w:rPr>
          <w:color w:val="000000"/>
          <w:lang w:eastAsia="zh-CN"/>
        </w:rPr>
      </w:pPr>
    </w:p>
    <w:p w14:paraId="7405BEFA">
      <w:pPr>
        <w:rPr>
          <w:color w:val="000000"/>
          <w:lang w:eastAsia="zh-CN"/>
        </w:rPr>
      </w:pPr>
    </w:p>
    <w:p w14:paraId="1B7C8378">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实施</w:t>
      </w:r>
    </w:p>
    <w:p w14:paraId="12CC55CF">
      <w:pPr>
        <w:jc w:val="center"/>
        <w:rPr>
          <w:rFonts w:ascii="仿宋_GB2312" w:eastAsia="仿宋_GB2312"/>
          <w:color w:val="000000"/>
          <w:w w:val="150"/>
          <w:lang w:eastAsia="zh-CN"/>
        </w:rPr>
      </w:pPr>
    </w:p>
    <w:tbl>
      <w:tblPr>
        <w:tblStyle w:val="21"/>
        <w:tblW w:w="0" w:type="auto"/>
        <w:jc w:val="center"/>
        <w:tblLayout w:type="fixed"/>
        <w:tblCellMar>
          <w:top w:w="0" w:type="dxa"/>
          <w:left w:w="108" w:type="dxa"/>
          <w:bottom w:w="0" w:type="dxa"/>
          <w:right w:w="108" w:type="dxa"/>
        </w:tblCellMar>
      </w:tblPr>
      <w:tblGrid>
        <w:gridCol w:w="6637"/>
        <w:gridCol w:w="964"/>
      </w:tblGrid>
      <w:tr w14:paraId="18587489">
        <w:tblPrEx>
          <w:tblCellMar>
            <w:top w:w="0" w:type="dxa"/>
            <w:left w:w="108" w:type="dxa"/>
            <w:bottom w:w="0" w:type="dxa"/>
            <w:right w:w="108" w:type="dxa"/>
          </w:tblCellMar>
        </w:tblPrEx>
        <w:trPr>
          <w:trHeight w:val="832" w:hRule="atLeast"/>
          <w:jc w:val="center"/>
        </w:trPr>
        <w:tc>
          <w:tcPr>
            <w:tcW w:w="6637" w:type="dxa"/>
          </w:tcPr>
          <w:p w14:paraId="4404970D">
            <w:pPr>
              <w:pStyle w:val="13"/>
              <w:jc w:val="center"/>
              <w:rPr>
                <w:rFonts w:ascii="Times New Roman" w:hAnsi="Times New Roman" w:eastAsia="仿宋_GB2312"/>
                <w:color w:val="000000"/>
                <w:w w:val="150"/>
                <w:sz w:val="32"/>
                <w:szCs w:val="32"/>
                <w:lang w:eastAsia="zh-CN" w:bidi="en-US"/>
              </w:rPr>
            </w:pPr>
            <w:r>
              <w:rPr>
                <w:rFonts w:hint="eastAsia" w:ascii="黑体" w:hAnsi="黑体" w:eastAsia="黑体" w:cs="黑体"/>
                <w:color w:val="000000"/>
                <w:w w:val="150"/>
                <w:sz w:val="32"/>
                <w:szCs w:val="32"/>
                <w:lang w:eastAsia="zh-CN" w:bidi="en-US"/>
              </w:rPr>
              <w:t>中国实验动物学会 发布</w:t>
            </w:r>
          </w:p>
        </w:tc>
        <w:tc>
          <w:tcPr>
            <w:tcW w:w="964" w:type="dxa"/>
            <w:vAlign w:val="center"/>
          </w:tcPr>
          <w:p w14:paraId="7F23B80B">
            <w:pPr>
              <w:pStyle w:val="13"/>
              <w:spacing w:line="160" w:lineRule="atLeast"/>
              <w:rPr>
                <w:rFonts w:ascii="Times New Roman" w:hAnsi="Times New Roman" w:eastAsia="仿宋_GB2312"/>
                <w:color w:val="000000"/>
                <w:w w:val="150"/>
                <w:lang w:eastAsia="zh-CN" w:bidi="en-US"/>
              </w:rPr>
            </w:pPr>
          </w:p>
        </w:tc>
      </w:tr>
    </w:tbl>
    <w:p w14:paraId="147B6D09">
      <w:pPr>
        <w:jc w:val="center"/>
        <w:rPr>
          <w:rFonts w:ascii="仿宋_GB2312" w:eastAsia="仿宋_GB2312"/>
          <w:color w:val="000000"/>
          <w:w w:val="150"/>
          <w:lang w:eastAsia="zh-CN"/>
        </w:rPr>
      </w:pPr>
    </w:p>
    <w:p w14:paraId="6204E6D9">
      <w:pPr>
        <w:jc w:val="center"/>
        <w:rPr>
          <w:rFonts w:ascii="黑体" w:eastAsia="黑体"/>
          <w:color w:val="000000"/>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720" w:num="1"/>
          <w:titlePg/>
          <w:docGrid w:type="linesAndChars" w:linePitch="312" w:charSpace="0"/>
        </w:sectPr>
      </w:pPr>
    </w:p>
    <w:p w14:paraId="0DA0F439">
      <w:pPr>
        <w:jc w:val="center"/>
        <w:rPr>
          <w:color w:val="000000"/>
          <w:spacing w:val="50"/>
          <w:lang w:eastAsia="zh-CN"/>
        </w:rPr>
      </w:pPr>
    </w:p>
    <w:p w14:paraId="72C5F523">
      <w:pPr>
        <w:jc w:val="center"/>
        <w:rPr>
          <w:rFonts w:eastAsia="黑体"/>
          <w:color w:val="000000"/>
          <w:sz w:val="32"/>
          <w:szCs w:val="32"/>
          <w:lang w:eastAsia="zh-CN"/>
        </w:rPr>
      </w:pPr>
      <w:r>
        <w:rPr>
          <w:rFonts w:hint="eastAsia" w:eastAsia="黑体" w:cs="黑体"/>
          <w:color w:val="000000"/>
          <w:sz w:val="32"/>
          <w:szCs w:val="32"/>
          <w:lang w:eastAsia="zh-CN"/>
        </w:rPr>
        <w:t>前</w:t>
      </w:r>
      <w:r>
        <w:rPr>
          <w:rFonts w:eastAsia="黑体"/>
          <w:color w:val="000000"/>
          <w:sz w:val="32"/>
          <w:szCs w:val="32"/>
          <w:lang w:eastAsia="zh-CN"/>
        </w:rPr>
        <w:t xml:space="preserve">  </w:t>
      </w:r>
      <w:r>
        <w:rPr>
          <w:rFonts w:hint="eastAsia" w:eastAsia="黑体" w:cs="黑体"/>
          <w:color w:val="000000"/>
          <w:sz w:val="32"/>
          <w:szCs w:val="32"/>
          <w:lang w:eastAsia="zh-CN"/>
        </w:rPr>
        <w:t>言</w:t>
      </w:r>
    </w:p>
    <w:p w14:paraId="2F5A3607">
      <w:pPr>
        <w:rPr>
          <w:color w:val="000000"/>
          <w:lang w:eastAsia="zh-CN"/>
        </w:rPr>
      </w:pPr>
    </w:p>
    <w:p w14:paraId="32D77D31">
      <w:pPr>
        <w:pStyle w:val="12"/>
        <w:spacing w:line="360" w:lineRule="auto"/>
        <w:ind w:firstLine="437"/>
        <w:rPr>
          <w:rFonts w:hint="default" w:ascii="Times New Roman" w:hAnsi="Times New Roman" w:cs="Times New Roman"/>
          <w:lang w:eastAsia="zh-CN"/>
        </w:rPr>
      </w:pPr>
      <w:r>
        <w:rPr>
          <w:rFonts w:hint="default" w:ascii="Times New Roman" w:hAnsi="Times New Roman" w:cs="Times New Roman"/>
          <w:lang w:eastAsia="zh-CN"/>
        </w:rPr>
        <w:t>本文件按照GB/T 1.1</w:t>
      </w:r>
      <w:r>
        <w:rPr>
          <w:rFonts w:hint="default" w:ascii="Times New Roman" w:hAnsi="Times New Roman" w:cs="Times New Roman"/>
          <w:spacing w:val="-4"/>
          <w:lang w:eastAsia="zh-CN"/>
        </w:rPr>
        <w:t>—</w:t>
      </w:r>
      <w:r>
        <w:rPr>
          <w:rFonts w:hint="default" w:ascii="Times New Roman" w:hAnsi="Times New Roman" w:cs="Times New Roman"/>
          <w:lang w:eastAsia="zh-CN"/>
        </w:rPr>
        <w:t>2020《标准化工作导则  第1部分：标准化文件的结构和起草规则》的规定起草。</w:t>
      </w:r>
    </w:p>
    <w:p w14:paraId="2BF74E0D">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本文件由中国实验动物学会归口。</w:t>
      </w:r>
    </w:p>
    <w:p w14:paraId="497A0D48">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本文件由全国实验动物标准化技术委员会（SAC/TC281）技术审查。</w:t>
      </w:r>
    </w:p>
    <w:p w14:paraId="6A5C64B6">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本文件由中国实验动物学会实验动物标准化专业委员会提出并组织起草。</w:t>
      </w:r>
    </w:p>
    <w:p w14:paraId="759086FC">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本文件起草单位：中国食品药品检定研究院、中国医学科学院医学实验动物研究所。</w:t>
      </w:r>
    </w:p>
    <w:p w14:paraId="44976ED4">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本文件主要起草人：王淑菁、向志光、冯育芳、王吉、李晓波、邢进、付瑞、岳秉飞、王莎莎、秦骁、李威。</w:t>
      </w:r>
    </w:p>
    <w:p w14:paraId="00838978">
      <w:pPr>
        <w:spacing w:line="360" w:lineRule="auto"/>
        <w:ind w:firstLine="435"/>
        <w:rPr>
          <w:rFonts w:ascii="宋体"/>
          <w:color w:val="000000"/>
          <w:lang w:eastAsia="zh-CN"/>
        </w:rPr>
      </w:pPr>
    </w:p>
    <w:p w14:paraId="38CD63AD">
      <w:pPr>
        <w:spacing w:line="360" w:lineRule="auto"/>
        <w:ind w:firstLine="435"/>
        <w:rPr>
          <w:color w:val="000000"/>
          <w:lang w:eastAsia="zh-CN"/>
        </w:rPr>
        <w:sectPr>
          <w:headerReference r:id="rId9" w:type="first"/>
          <w:pgSz w:w="11906" w:h="16838"/>
          <w:pgMar w:top="1440" w:right="1797" w:bottom="1440" w:left="1797" w:header="851" w:footer="992" w:gutter="0"/>
          <w:pgNumType w:start="0"/>
          <w:cols w:space="720" w:num="1"/>
          <w:titlePg/>
          <w:docGrid w:type="linesAndChars" w:linePitch="312" w:charSpace="0"/>
        </w:sectPr>
      </w:pPr>
    </w:p>
    <w:p w14:paraId="243BA886">
      <w:pPr>
        <w:pStyle w:val="2"/>
        <w:jc w:val="center"/>
        <w:rPr>
          <w:b w:val="0"/>
          <w:bCs w:val="0"/>
          <w:lang w:eastAsia="zh-CN"/>
        </w:rPr>
      </w:pPr>
      <w:r>
        <w:rPr>
          <w:rFonts w:hint="eastAsia" w:ascii="黑体" w:hAnsi="黑体" w:eastAsia="黑体"/>
          <w:b w:val="0"/>
          <w:bCs w:val="0"/>
          <w:lang w:eastAsia="zh-CN"/>
        </w:rPr>
        <w:t>实验动物 生物样本库小鼠细小病毒属快速检测方法</w:t>
      </w:r>
    </w:p>
    <w:p w14:paraId="1FBCDE9E">
      <w:pPr>
        <w:spacing w:line="360" w:lineRule="auto"/>
        <w:ind w:firstLine="420" w:firstLineChars="200"/>
        <w:rPr>
          <w:b/>
          <w:bCs/>
          <w:color w:val="000000"/>
          <w:sz w:val="21"/>
          <w:lang w:eastAsia="zh-CN"/>
        </w:rPr>
      </w:pPr>
    </w:p>
    <w:p w14:paraId="2BB5273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范围</w:t>
      </w:r>
    </w:p>
    <w:p w14:paraId="5FAF592D">
      <w:pPr>
        <w:spacing w:line="360" w:lineRule="auto"/>
        <w:ind w:firstLine="420" w:firstLineChars="200"/>
        <w:rPr>
          <w:color w:val="000000"/>
          <w:sz w:val="21"/>
          <w:lang w:eastAsia="zh-CN"/>
        </w:rPr>
      </w:pPr>
      <w:r>
        <w:rPr>
          <w:rFonts w:hint="eastAsia"/>
          <w:color w:val="000000"/>
          <w:sz w:val="21"/>
          <w:lang w:eastAsia="zh-CN"/>
        </w:rPr>
        <w:t>本文件规定了生物样本库小鼠细小病毒属（小鼠细小病毒MVM株和MPV株）的快速检测方法。</w:t>
      </w:r>
    </w:p>
    <w:p w14:paraId="64FD0383">
      <w:pPr>
        <w:spacing w:line="360" w:lineRule="auto"/>
        <w:ind w:firstLine="420" w:firstLineChars="200"/>
        <w:rPr>
          <w:color w:val="000000"/>
          <w:sz w:val="21"/>
          <w:lang w:eastAsia="zh-CN"/>
        </w:rPr>
      </w:pPr>
      <w:r>
        <w:rPr>
          <w:rFonts w:hint="eastAsia"/>
          <w:color w:val="000000"/>
          <w:sz w:val="21"/>
          <w:lang w:eastAsia="zh-CN"/>
        </w:rPr>
        <w:t>本文件适用于生物样本库中怀疑细小病毒污染，针对小鼠细小病毒MVM株和MPV株的检测。</w:t>
      </w:r>
    </w:p>
    <w:p w14:paraId="597CB592">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2  规范性引用文件</w:t>
      </w:r>
    </w:p>
    <w:p w14:paraId="204E7AFB">
      <w:pPr>
        <w:pStyle w:val="12"/>
        <w:spacing w:line="360" w:lineRule="auto"/>
        <w:ind w:firstLine="404" w:firstLineChars="200"/>
        <w:rPr>
          <w:rFonts w:ascii="Times New Roman" w:hAnsi="Times New Roman" w:cs="Times New Roman"/>
          <w:spacing w:val="-4"/>
          <w:lang w:eastAsia="zh-CN"/>
        </w:rPr>
      </w:pPr>
      <w:r>
        <w:rPr>
          <w:rFonts w:hint="eastAsia" w:ascii="Times New Roman" w:hAnsi="Times New Roman" w:cs="Times New Roman"/>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hint="eastAsia" w:ascii="Times New Roman" w:hAnsi="Times New Roman" w:cs="Times New Roman"/>
          <w:spacing w:val="-4"/>
          <w:lang w:eastAsia="zh-CN"/>
        </w:rPr>
        <w:t>其中，注日期的引用文件，仅该日期对应的版本适用于本文件；不注日期的引用文件，其最新版本（包括所有的修改单）适用于本文件。</w:t>
      </w:r>
    </w:p>
    <w:p w14:paraId="7DD0B9F5">
      <w:pPr>
        <w:pStyle w:val="12"/>
        <w:spacing w:line="360" w:lineRule="auto"/>
        <w:ind w:firstLine="404" w:firstLineChars="200"/>
        <w:rPr>
          <w:rFonts w:hint="default" w:ascii="Times New Roman" w:hAnsi="Times New Roman" w:cs="Times New Roman" w:eastAsiaTheme="minorEastAsia"/>
          <w:spacing w:val="-4"/>
          <w:lang w:eastAsia="zh-CN"/>
        </w:rPr>
      </w:pPr>
      <w:r>
        <w:rPr>
          <w:rFonts w:hint="default" w:ascii="Times New Roman" w:hAnsi="Times New Roman" w:cs="Times New Roman" w:eastAsiaTheme="minorEastAsia"/>
          <w:spacing w:val="-4"/>
          <w:lang w:eastAsia="zh-CN"/>
        </w:rPr>
        <w:t>GB/T 6682 分析实验室用水规格和试验方法</w:t>
      </w:r>
    </w:p>
    <w:p w14:paraId="4B7AF6D8">
      <w:pPr>
        <w:pStyle w:val="56"/>
        <w:spacing w:line="360" w:lineRule="auto"/>
        <w:ind w:firstLine="420" w:firstLineChars="200"/>
        <w:rPr>
          <w:rFonts w:hint="default" w:ascii="Times New Roman" w:hAnsi="Times New Roman" w:cs="Times New Roman" w:eastAsiaTheme="minorEastAsia"/>
          <w:sz w:val="21"/>
        </w:rPr>
      </w:pPr>
      <w:r>
        <w:rPr>
          <w:rFonts w:hint="default" w:ascii="Times New Roman" w:hAnsi="Times New Roman" w:cs="Times New Roman" w:eastAsiaTheme="minorEastAsia"/>
          <w:sz w:val="21"/>
        </w:rPr>
        <w:t>GB 19489 实验室 生物安全通用要求</w:t>
      </w:r>
    </w:p>
    <w:p w14:paraId="663DC20F">
      <w:pPr>
        <w:pStyle w:val="56"/>
        <w:spacing w:line="360" w:lineRule="auto"/>
        <w:ind w:firstLine="420" w:firstLineChars="200"/>
        <w:rPr>
          <w:rFonts w:hint="default" w:ascii="Times New Roman" w:hAnsi="Times New Roman" w:cs="Times New Roman"/>
          <w:sz w:val="21"/>
        </w:rPr>
      </w:pPr>
      <w:r>
        <w:rPr>
          <w:rFonts w:hint="default" w:ascii="Times New Roman" w:hAnsi="Times New Roman" w:cs="Times New Roman"/>
          <w:sz w:val="21"/>
        </w:rPr>
        <w:t>T/CALAS 27 实验动物 小鼠细小病毒MPV株PCR检测方法</w:t>
      </w:r>
    </w:p>
    <w:p w14:paraId="4E88D25C">
      <w:pPr>
        <w:pStyle w:val="56"/>
        <w:spacing w:line="360" w:lineRule="auto"/>
        <w:ind w:firstLine="420" w:firstLineChars="200"/>
        <w:rPr>
          <w:rFonts w:hint="default" w:ascii="Times New Roman" w:hAnsi="Times New Roman" w:cs="Times New Roman"/>
          <w:sz w:val="21"/>
        </w:rPr>
      </w:pPr>
      <w:r>
        <w:rPr>
          <w:rFonts w:hint="default" w:ascii="Times New Roman" w:hAnsi="Times New Roman" w:cs="Times New Roman"/>
          <w:sz w:val="21"/>
        </w:rPr>
        <w:t>T/CALAS 28 实验动物 小鼠细小病毒MVM株PCR检测方法</w:t>
      </w:r>
    </w:p>
    <w:p w14:paraId="475CACA3">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  术语和定义</w:t>
      </w:r>
    </w:p>
    <w:p w14:paraId="4957BFD5">
      <w:pPr>
        <w:pStyle w:val="56"/>
        <w:spacing w:line="360" w:lineRule="auto"/>
        <w:ind w:firstLine="420" w:firstLineChars="200"/>
        <w:rPr>
          <w:rFonts w:ascii="宋体" w:hAnsi="宋体"/>
          <w:sz w:val="21"/>
        </w:rPr>
      </w:pPr>
      <w:r>
        <w:rPr>
          <w:rFonts w:hint="eastAsia" w:ascii="宋体" w:hAnsi="宋体"/>
          <w:sz w:val="21"/>
        </w:rPr>
        <w:t>以下术语和定义适用于本文件。</w:t>
      </w:r>
    </w:p>
    <w:p w14:paraId="46672752">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3.1 </w:t>
      </w:r>
    </w:p>
    <w:p w14:paraId="7E5C3F90">
      <w:pPr>
        <w:spacing w:line="360" w:lineRule="auto"/>
        <w:ind w:firstLine="420" w:firstLineChars="200"/>
        <w:rPr>
          <w:rFonts w:ascii="黑体" w:hAnsi="黑体" w:eastAsia="黑体" w:cs="黑体"/>
          <w:color w:val="000000"/>
          <w:sz w:val="21"/>
          <w:lang w:eastAsia="zh-CN"/>
        </w:rPr>
      </w:pPr>
      <w:r>
        <w:rPr>
          <w:rFonts w:ascii="黑体" w:hAnsi="黑体" w:eastAsia="黑体" w:cs="黑体"/>
          <w:color w:val="000000"/>
          <w:sz w:val="21"/>
          <w:lang w:eastAsia="zh-CN"/>
        </w:rPr>
        <w:t>实时荧光聚合酶链式反应real-time PCR</w:t>
      </w:r>
    </w:p>
    <w:p w14:paraId="33FF8228">
      <w:pPr>
        <w:spacing w:line="360" w:lineRule="auto"/>
        <w:ind w:firstLine="480"/>
        <w:rPr>
          <w:rFonts w:asciiTheme="minorEastAsia" w:hAnsiTheme="minorEastAsia" w:eastAsiaTheme="minorEastAsia"/>
          <w:color w:val="000000"/>
          <w:sz w:val="21"/>
          <w:szCs w:val="21"/>
          <w:lang w:eastAsia="zh-CN"/>
        </w:rPr>
      </w:pPr>
      <w:r>
        <w:rPr>
          <w:rFonts w:asciiTheme="minorEastAsia" w:hAnsiTheme="minorEastAsia" w:eastAsiaTheme="minorEastAsia"/>
          <w:color w:val="000000"/>
          <w:sz w:val="21"/>
          <w:szCs w:val="21"/>
          <w:lang w:eastAsia="zh-CN"/>
        </w:rPr>
        <w:t>实时荧光PCR方法是在常规PCR的基础上，在反应体系中加入特异性荧光探针，利用荧光信号积累实时检测整个PCR进程，通过检测每次循环中的荧光发射信号，间接反映了 PCR扩增的目标基因的量，最后通过扩增曲线对未知模板进行定性或定量分析。</w:t>
      </w:r>
    </w:p>
    <w:p w14:paraId="6C310255">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3.2</w:t>
      </w:r>
    </w:p>
    <w:p w14:paraId="2F3373DC">
      <w:pPr>
        <w:spacing w:line="360" w:lineRule="auto"/>
        <w:ind w:firstLine="420" w:firstLineChars="200"/>
        <w:rPr>
          <w:rFonts w:ascii="黑体" w:hAnsi="黑体" w:eastAsia="黑体" w:cs="黑体"/>
          <w:color w:val="000000"/>
          <w:sz w:val="21"/>
          <w:lang w:eastAsia="zh-CN"/>
        </w:rPr>
      </w:pPr>
      <w:r>
        <w:rPr>
          <w:rFonts w:ascii="黑体" w:hAnsi="黑体" w:eastAsia="黑体" w:cs="黑体"/>
          <w:color w:val="000000"/>
          <w:sz w:val="21"/>
          <w:lang w:eastAsia="zh-CN"/>
        </w:rPr>
        <w:t xml:space="preserve">Ct </w:t>
      </w:r>
      <w:r>
        <w:rPr>
          <w:rFonts w:hint="eastAsia" w:ascii="黑体" w:hAnsi="黑体" w:eastAsia="黑体" w:cs="黑体"/>
          <w:color w:val="000000"/>
          <w:sz w:val="21"/>
          <w:lang w:eastAsia="zh-CN"/>
        </w:rPr>
        <w:t>值</w:t>
      </w:r>
      <w:r>
        <w:rPr>
          <w:rFonts w:ascii="黑体" w:hAnsi="黑体" w:eastAsia="黑体" w:cs="黑体"/>
          <w:color w:val="000000"/>
          <w:sz w:val="21"/>
          <w:lang w:eastAsia="zh-CN"/>
        </w:rPr>
        <w:t xml:space="preserve"> cycle threshold value</w:t>
      </w:r>
    </w:p>
    <w:p w14:paraId="63F097DC">
      <w:pPr>
        <w:spacing w:line="360" w:lineRule="auto"/>
        <w:ind w:firstLine="480"/>
        <w:rPr>
          <w:color w:val="000000"/>
          <w:sz w:val="21"/>
          <w:lang w:eastAsia="zh-CN"/>
        </w:rPr>
      </w:pPr>
      <w:r>
        <w:rPr>
          <w:color w:val="000000"/>
          <w:sz w:val="21"/>
          <w:lang w:eastAsia="zh-CN"/>
        </w:rPr>
        <w:t>从基线到指数增长的拐点所对应的PCR反应循环次数。</w:t>
      </w:r>
    </w:p>
    <w:p w14:paraId="0BB47E4B">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  缩略语</w:t>
      </w:r>
    </w:p>
    <w:p w14:paraId="265DCCFA">
      <w:pPr>
        <w:spacing w:line="360" w:lineRule="auto"/>
        <w:rPr>
          <w:color w:val="000000"/>
          <w:sz w:val="21"/>
          <w:lang w:eastAsia="zh-CN"/>
        </w:rPr>
      </w:pPr>
      <w:r>
        <w:rPr>
          <w:color w:val="000000"/>
          <w:sz w:val="21"/>
          <w:lang w:eastAsia="zh-CN"/>
        </w:rPr>
        <w:t>下列缩略语适用于本标准。</w:t>
      </w:r>
    </w:p>
    <w:p w14:paraId="778D6277">
      <w:pPr>
        <w:spacing w:line="360" w:lineRule="auto"/>
        <w:rPr>
          <w:color w:val="000000"/>
          <w:sz w:val="21"/>
          <w:szCs w:val="21"/>
          <w:lang w:eastAsia="zh-CN"/>
        </w:rPr>
      </w:pPr>
      <w:r>
        <w:rPr>
          <w:color w:val="000000"/>
          <w:sz w:val="21"/>
          <w:szCs w:val="21"/>
          <w:lang w:eastAsia="zh-CN"/>
        </w:rPr>
        <w:t xml:space="preserve">RNA </w:t>
      </w:r>
      <w:r>
        <w:rPr>
          <w:rFonts w:hint="eastAsia"/>
          <w:color w:val="000000"/>
          <w:sz w:val="21"/>
          <w:szCs w:val="21"/>
          <w:lang w:eastAsia="zh-CN"/>
        </w:rPr>
        <w:t>：核糖核酸</w:t>
      </w:r>
      <w:r>
        <w:rPr>
          <w:color w:val="000000"/>
          <w:sz w:val="21"/>
          <w:szCs w:val="21"/>
          <w:lang w:eastAsia="zh-CN"/>
        </w:rPr>
        <w:t>(ribonucleic acid)</w:t>
      </w:r>
    </w:p>
    <w:p w14:paraId="060772A9">
      <w:pPr>
        <w:spacing w:line="360" w:lineRule="auto"/>
        <w:rPr>
          <w:color w:val="000000"/>
          <w:sz w:val="21"/>
          <w:szCs w:val="21"/>
          <w:lang w:eastAsia="zh-CN"/>
        </w:rPr>
      </w:pPr>
      <w:r>
        <w:rPr>
          <w:color w:val="000000"/>
          <w:sz w:val="21"/>
          <w:szCs w:val="21"/>
          <w:lang w:eastAsia="zh-CN"/>
        </w:rPr>
        <w:t>RT</w:t>
      </w:r>
      <w:r>
        <w:rPr>
          <w:rFonts w:hint="eastAsia"/>
          <w:color w:val="000000"/>
          <w:sz w:val="21"/>
          <w:szCs w:val="21"/>
          <w:lang w:eastAsia="zh-CN"/>
        </w:rPr>
        <w:t>-</w:t>
      </w:r>
      <w:r>
        <w:rPr>
          <w:color w:val="000000"/>
          <w:sz w:val="21"/>
          <w:szCs w:val="21"/>
          <w:lang w:eastAsia="zh-CN"/>
        </w:rPr>
        <w:t>PCR</w:t>
      </w:r>
      <w:r>
        <w:rPr>
          <w:rFonts w:hint="eastAsia"/>
          <w:color w:val="000000"/>
          <w:sz w:val="21"/>
          <w:szCs w:val="21"/>
          <w:lang w:eastAsia="zh-CN"/>
        </w:rPr>
        <w:t>：逆转录聚合醐链式反应</w:t>
      </w:r>
      <w:r>
        <w:rPr>
          <w:color w:val="000000"/>
          <w:sz w:val="21"/>
          <w:szCs w:val="21"/>
          <w:lang w:eastAsia="zh-CN"/>
        </w:rPr>
        <w:t>(reverse transcript</w:t>
      </w:r>
      <w:r>
        <w:rPr>
          <w:rFonts w:hint="eastAsia"/>
          <w:color w:val="000000"/>
          <w:sz w:val="21"/>
          <w:szCs w:val="21"/>
          <w:lang w:eastAsia="zh-CN"/>
        </w:rPr>
        <w:t>io</w:t>
      </w:r>
      <w:r>
        <w:rPr>
          <w:color w:val="000000"/>
          <w:sz w:val="21"/>
          <w:szCs w:val="21"/>
          <w:lang w:eastAsia="zh-CN"/>
        </w:rPr>
        <w:t>n polymerase chain reaction)</w:t>
      </w:r>
    </w:p>
    <w:p w14:paraId="66C66195">
      <w:pPr>
        <w:spacing w:line="360" w:lineRule="auto"/>
        <w:rPr>
          <w:color w:val="000000"/>
          <w:sz w:val="21"/>
          <w:szCs w:val="21"/>
          <w:lang w:eastAsia="zh-CN"/>
        </w:rPr>
      </w:pPr>
      <w:r>
        <w:rPr>
          <w:rFonts w:hint="eastAsia"/>
          <w:color w:val="000000"/>
          <w:sz w:val="21"/>
          <w:szCs w:val="21"/>
          <w:lang w:eastAsia="zh-CN"/>
        </w:rPr>
        <w:t>MVM：小鼠细小病毒MVM株(Minute Virus of Mice)</w:t>
      </w:r>
    </w:p>
    <w:p w14:paraId="639A8710">
      <w:pPr>
        <w:spacing w:line="360" w:lineRule="auto"/>
        <w:rPr>
          <w:color w:val="000000"/>
          <w:sz w:val="21"/>
          <w:szCs w:val="21"/>
          <w:lang w:eastAsia="zh-CN"/>
        </w:rPr>
      </w:pPr>
      <w:r>
        <w:rPr>
          <w:rFonts w:hint="eastAsia"/>
          <w:color w:val="000000"/>
          <w:sz w:val="21"/>
          <w:szCs w:val="21"/>
          <w:lang w:eastAsia="zh-CN"/>
        </w:rPr>
        <w:t>MPV：小鼠细小病毒MPV株(Murine Parvovirus)</w:t>
      </w:r>
    </w:p>
    <w:p w14:paraId="3A3C6D45">
      <w:pPr>
        <w:spacing w:line="360" w:lineRule="auto"/>
        <w:rPr>
          <w:color w:val="000000"/>
          <w:sz w:val="21"/>
          <w:szCs w:val="21"/>
          <w:lang w:eastAsia="zh-CN"/>
        </w:rPr>
      </w:pPr>
      <w:r>
        <w:rPr>
          <w:color w:val="000000"/>
          <w:sz w:val="21"/>
          <w:szCs w:val="21"/>
          <w:lang w:eastAsia="zh-CN"/>
        </w:rPr>
        <w:t>FAM</w:t>
      </w:r>
      <w:r>
        <w:rPr>
          <w:rFonts w:hint="eastAsia"/>
          <w:color w:val="000000"/>
          <w:sz w:val="21"/>
          <w:szCs w:val="21"/>
          <w:lang w:eastAsia="zh-CN"/>
        </w:rPr>
        <w:t>：</w:t>
      </w:r>
      <w:r>
        <w:rPr>
          <w:color w:val="000000"/>
          <w:sz w:val="21"/>
          <w:szCs w:val="21"/>
          <w:lang w:eastAsia="zh-CN"/>
        </w:rPr>
        <w:t>6</w:t>
      </w:r>
      <w:r>
        <w:rPr>
          <w:rFonts w:hint="eastAsia"/>
          <w:color w:val="000000"/>
          <w:sz w:val="21"/>
          <w:szCs w:val="21"/>
          <w:lang w:eastAsia="zh-CN"/>
        </w:rPr>
        <w:t>-羧基荧光素</w:t>
      </w:r>
      <w:r>
        <w:rPr>
          <w:color w:val="000000"/>
          <w:sz w:val="21"/>
          <w:szCs w:val="21"/>
          <w:lang w:eastAsia="zh-CN"/>
        </w:rPr>
        <w:t>(6</w:t>
      </w:r>
      <w:r>
        <w:rPr>
          <w:rFonts w:hint="eastAsia"/>
          <w:color w:val="000000"/>
          <w:sz w:val="21"/>
          <w:szCs w:val="21"/>
          <w:lang w:eastAsia="zh-CN"/>
        </w:rPr>
        <w:t>-</w:t>
      </w:r>
      <w:r>
        <w:rPr>
          <w:color w:val="000000"/>
          <w:sz w:val="21"/>
          <w:szCs w:val="21"/>
          <w:lang w:eastAsia="zh-CN"/>
        </w:rPr>
        <w:t>carboxy fluorescein)</w:t>
      </w:r>
    </w:p>
    <w:p w14:paraId="3B38BE98">
      <w:pPr>
        <w:spacing w:line="360" w:lineRule="auto"/>
        <w:rPr>
          <w:color w:val="000000"/>
          <w:sz w:val="21"/>
          <w:szCs w:val="21"/>
          <w:lang w:eastAsia="zh-CN"/>
        </w:rPr>
      </w:pPr>
      <w:r>
        <w:rPr>
          <w:rFonts w:hint="eastAsia"/>
          <w:color w:val="000000"/>
          <w:sz w:val="21"/>
          <w:szCs w:val="21"/>
          <w:lang w:eastAsia="zh-CN"/>
        </w:rPr>
        <w:t>MGB：小沟结合位点</w:t>
      </w:r>
      <w:r>
        <w:rPr>
          <w:color w:val="000000"/>
          <w:sz w:val="21"/>
          <w:szCs w:val="21"/>
          <w:lang w:eastAsia="zh-CN"/>
        </w:rPr>
        <w:t xml:space="preserve"> (Minor Groove Binder)</w:t>
      </w:r>
    </w:p>
    <w:p w14:paraId="0AF48E7C">
      <w:pPr>
        <w:spacing w:line="360" w:lineRule="auto"/>
        <w:rPr>
          <w:color w:val="000000"/>
          <w:sz w:val="21"/>
          <w:szCs w:val="21"/>
          <w:lang w:eastAsia="zh-CN"/>
        </w:rPr>
      </w:pPr>
      <w:r>
        <w:rPr>
          <w:color w:val="000000"/>
          <w:sz w:val="21"/>
          <w:szCs w:val="21"/>
          <w:lang w:eastAsia="zh-CN"/>
        </w:rPr>
        <w:t xml:space="preserve">PBS </w:t>
      </w:r>
      <w:r>
        <w:rPr>
          <w:rFonts w:hint="eastAsia"/>
          <w:color w:val="000000"/>
          <w:sz w:val="21"/>
          <w:szCs w:val="21"/>
          <w:lang w:eastAsia="zh-CN"/>
        </w:rPr>
        <w:t>磷酸盐缓冲液(</w:t>
      </w:r>
      <w:r>
        <w:rPr>
          <w:color w:val="000000"/>
          <w:sz w:val="21"/>
          <w:szCs w:val="21"/>
          <w:lang w:eastAsia="zh-CN"/>
        </w:rPr>
        <w:t>phosphate buffered saline</w:t>
      </w:r>
      <w:r>
        <w:rPr>
          <w:rFonts w:hint="eastAsia"/>
          <w:color w:val="000000"/>
          <w:sz w:val="21"/>
          <w:szCs w:val="21"/>
          <w:lang w:eastAsia="zh-CN"/>
        </w:rPr>
        <w:t>)</w:t>
      </w:r>
    </w:p>
    <w:p w14:paraId="630AE68A">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5</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主要设备和材料</w:t>
      </w:r>
    </w:p>
    <w:p w14:paraId="343B1E84">
      <w:pPr>
        <w:adjustRightInd w:val="0"/>
        <w:snapToGrid w:val="0"/>
        <w:spacing w:line="360" w:lineRule="auto"/>
        <w:rPr>
          <w:rFonts w:eastAsiaTheme="minorEastAsia"/>
          <w:color w:val="000000"/>
          <w:sz w:val="21"/>
          <w:lang w:eastAsia="zh-CN"/>
        </w:rPr>
      </w:pPr>
      <w:r>
        <w:rPr>
          <w:rFonts w:hint="eastAsia" w:ascii="黑体" w:hAnsi="黑体" w:eastAsia="黑体" w:cs="黑体"/>
          <w:color w:val="000000"/>
          <w:sz w:val="21"/>
          <w:lang w:eastAsia="zh-CN"/>
        </w:rPr>
        <w:t>5.1</w:t>
      </w:r>
      <w:r>
        <w:rPr>
          <w:rFonts w:hint="eastAsia" w:eastAsiaTheme="minorEastAsia"/>
          <w:color w:val="000000"/>
          <w:sz w:val="21"/>
          <w:lang w:val="en-US" w:eastAsia="zh-CN"/>
        </w:rPr>
        <w:t xml:space="preserve"> </w:t>
      </w:r>
      <w:r>
        <w:rPr>
          <w:rFonts w:eastAsiaTheme="minorEastAsia"/>
          <w:color w:val="000000"/>
          <w:sz w:val="21"/>
          <w:lang w:eastAsia="zh-CN"/>
        </w:rPr>
        <w:t>实时荧光PCR仪。</w:t>
      </w:r>
    </w:p>
    <w:p w14:paraId="5B0E7462">
      <w:pPr>
        <w:adjustRightInd w:val="0"/>
        <w:snapToGrid w:val="0"/>
        <w:spacing w:line="360" w:lineRule="auto"/>
        <w:rPr>
          <w:rFonts w:eastAsiaTheme="minorEastAsia"/>
          <w:color w:val="000000"/>
          <w:sz w:val="21"/>
          <w:lang w:eastAsia="zh-CN"/>
        </w:rPr>
      </w:pPr>
      <w:r>
        <w:rPr>
          <w:rFonts w:hint="eastAsia" w:ascii="黑体" w:hAnsi="黑体" w:eastAsia="黑体" w:cs="黑体"/>
          <w:color w:val="000000"/>
          <w:sz w:val="21"/>
          <w:lang w:eastAsia="zh-CN"/>
        </w:rPr>
        <w:t>5.2</w:t>
      </w:r>
      <w:r>
        <w:rPr>
          <w:rFonts w:eastAsiaTheme="minorEastAsia"/>
          <w:color w:val="000000"/>
          <w:sz w:val="21"/>
          <w:lang w:eastAsia="zh-CN"/>
        </w:rPr>
        <w:t xml:space="preserve"> PCR 仪。</w:t>
      </w:r>
    </w:p>
    <w:p w14:paraId="5493C9EA">
      <w:pPr>
        <w:adjustRightInd w:val="0"/>
        <w:snapToGrid w:val="0"/>
        <w:spacing w:line="360" w:lineRule="auto"/>
        <w:rPr>
          <w:rFonts w:eastAsiaTheme="minorEastAsia"/>
          <w:color w:val="000000"/>
          <w:sz w:val="21"/>
          <w:lang w:eastAsia="zh-CN"/>
        </w:rPr>
      </w:pPr>
      <w:r>
        <w:rPr>
          <w:rFonts w:hint="eastAsia" w:ascii="黑体" w:hAnsi="黑体" w:eastAsia="黑体" w:cs="黑体"/>
          <w:color w:val="000000"/>
          <w:sz w:val="21"/>
          <w:lang w:eastAsia="zh-CN"/>
        </w:rPr>
        <w:t>5.3</w:t>
      </w:r>
      <w:r>
        <w:rPr>
          <w:rFonts w:eastAsiaTheme="minorEastAsia"/>
          <w:color w:val="000000"/>
          <w:sz w:val="21"/>
          <w:lang w:eastAsia="zh-CN"/>
        </w:rPr>
        <w:t xml:space="preserve"> 台式离心机。</w:t>
      </w:r>
    </w:p>
    <w:p w14:paraId="44B5E894">
      <w:pPr>
        <w:adjustRightInd w:val="0"/>
        <w:snapToGrid w:val="0"/>
        <w:spacing w:line="360" w:lineRule="auto"/>
        <w:rPr>
          <w:rFonts w:eastAsiaTheme="minorEastAsia"/>
          <w:color w:val="000000"/>
          <w:sz w:val="21"/>
          <w:lang w:eastAsia="zh-CN"/>
        </w:rPr>
      </w:pPr>
      <w:r>
        <w:rPr>
          <w:rFonts w:hint="eastAsia" w:ascii="黑体" w:hAnsi="黑体" w:eastAsia="黑体" w:cs="黑体"/>
          <w:color w:val="000000"/>
          <w:sz w:val="21"/>
          <w:lang w:eastAsia="zh-CN"/>
        </w:rPr>
        <w:t>5.4</w:t>
      </w:r>
      <w:r>
        <w:rPr>
          <w:rFonts w:eastAsiaTheme="minorEastAsia"/>
          <w:color w:val="000000"/>
          <w:sz w:val="21"/>
          <w:lang w:eastAsia="zh-CN"/>
        </w:rPr>
        <w:t xml:space="preserve"> 涡旋振荡器。</w:t>
      </w:r>
    </w:p>
    <w:p w14:paraId="11A8560D">
      <w:pPr>
        <w:adjustRightInd w:val="0"/>
        <w:snapToGrid w:val="0"/>
        <w:spacing w:line="360" w:lineRule="auto"/>
        <w:rPr>
          <w:rFonts w:eastAsiaTheme="minorEastAsia"/>
          <w:color w:val="000000"/>
          <w:sz w:val="21"/>
          <w:lang w:eastAsia="zh-CN"/>
        </w:rPr>
      </w:pPr>
      <w:r>
        <w:rPr>
          <w:rFonts w:hint="eastAsia" w:ascii="黑体" w:hAnsi="黑体" w:eastAsia="黑体" w:cs="黑体"/>
          <w:color w:val="000000"/>
          <w:sz w:val="21"/>
          <w:lang w:eastAsia="zh-CN"/>
        </w:rPr>
        <w:t>5.5</w:t>
      </w:r>
      <w:r>
        <w:rPr>
          <w:rFonts w:hint="eastAsia" w:eastAsiaTheme="minorEastAsia"/>
          <w:color w:val="000000"/>
          <w:sz w:val="21"/>
          <w:lang w:val="en-US" w:eastAsia="zh-CN"/>
        </w:rPr>
        <w:t xml:space="preserve"> </w:t>
      </w:r>
      <w:r>
        <w:rPr>
          <w:rFonts w:eastAsiaTheme="minorEastAsia"/>
          <w:color w:val="000000"/>
          <w:sz w:val="21"/>
          <w:lang w:eastAsia="zh-CN"/>
        </w:rPr>
        <w:t>组织匀浆器或手持式均质器。</w:t>
      </w:r>
    </w:p>
    <w:p w14:paraId="01F9F3DD">
      <w:pPr>
        <w:adjustRightInd w:val="0"/>
        <w:snapToGrid w:val="0"/>
        <w:spacing w:line="360" w:lineRule="auto"/>
        <w:rPr>
          <w:rFonts w:eastAsiaTheme="minorEastAsia"/>
          <w:color w:val="000000"/>
          <w:sz w:val="21"/>
          <w:lang w:eastAsia="zh-CN"/>
        </w:rPr>
      </w:pPr>
      <w:r>
        <w:rPr>
          <w:rFonts w:hint="eastAsia" w:ascii="黑体" w:hAnsi="黑体" w:eastAsia="黑体" w:cs="黑体"/>
          <w:color w:val="000000"/>
          <w:sz w:val="21"/>
          <w:lang w:eastAsia="zh-CN"/>
        </w:rPr>
        <w:t>5.6</w:t>
      </w:r>
      <w:r>
        <w:rPr>
          <w:rFonts w:hint="eastAsia" w:eastAsiaTheme="minorEastAsia"/>
          <w:color w:val="000000"/>
          <w:sz w:val="21"/>
          <w:lang w:val="en-US" w:eastAsia="zh-CN"/>
        </w:rPr>
        <w:t xml:space="preserve"> </w:t>
      </w:r>
      <w:r>
        <w:rPr>
          <w:rFonts w:eastAsiaTheme="minorEastAsia"/>
          <w:color w:val="000000"/>
          <w:sz w:val="21"/>
          <w:lang w:eastAsia="zh-CN"/>
        </w:rPr>
        <w:t>生物安全柜。</w:t>
      </w:r>
    </w:p>
    <w:p w14:paraId="6D0D0F2B">
      <w:pPr>
        <w:adjustRightInd w:val="0"/>
        <w:snapToGrid w:val="0"/>
        <w:spacing w:line="360" w:lineRule="auto"/>
        <w:rPr>
          <w:rFonts w:eastAsiaTheme="minorEastAsia"/>
          <w:color w:val="000000"/>
          <w:sz w:val="21"/>
          <w:lang w:eastAsia="zh-CN"/>
        </w:rPr>
      </w:pPr>
      <w:r>
        <w:rPr>
          <w:rFonts w:hint="eastAsia" w:ascii="黑体" w:hAnsi="黑体" w:eastAsia="黑体" w:cs="黑体"/>
          <w:color w:val="000000"/>
          <w:sz w:val="21"/>
          <w:lang w:eastAsia="zh-CN"/>
        </w:rPr>
        <w:t>5.7</w:t>
      </w:r>
      <w:r>
        <w:rPr>
          <w:rFonts w:eastAsiaTheme="minorEastAsia"/>
          <w:color w:val="000000"/>
          <w:sz w:val="21"/>
          <w:lang w:eastAsia="zh-CN"/>
        </w:rPr>
        <w:t xml:space="preserve"> PCR工作台。</w:t>
      </w:r>
    </w:p>
    <w:p w14:paraId="290BD312">
      <w:pPr>
        <w:adjustRightInd w:val="0"/>
        <w:snapToGrid w:val="0"/>
        <w:spacing w:line="360" w:lineRule="auto"/>
        <w:rPr>
          <w:rFonts w:eastAsiaTheme="minorEastAsia"/>
          <w:color w:val="000000"/>
          <w:sz w:val="21"/>
          <w:lang w:eastAsia="zh-CN"/>
        </w:rPr>
      </w:pPr>
      <w:r>
        <w:rPr>
          <w:rFonts w:hint="eastAsia" w:ascii="黑体" w:hAnsi="黑体" w:eastAsia="黑体" w:cs="黑体"/>
          <w:color w:val="000000"/>
          <w:sz w:val="21"/>
          <w:lang w:eastAsia="zh-CN"/>
        </w:rPr>
        <w:t>5.8</w:t>
      </w:r>
      <w:r>
        <w:rPr>
          <w:rFonts w:eastAsiaTheme="minorEastAsia"/>
          <w:color w:val="000000"/>
          <w:sz w:val="21"/>
          <w:lang w:eastAsia="zh-CN"/>
        </w:rPr>
        <w:t xml:space="preserve"> -80℃冰箱，-20℃冰箱，2</w:t>
      </w:r>
      <w:r>
        <w:rPr>
          <w:rFonts w:eastAsia="微软雅黑"/>
          <w:color w:val="000000"/>
          <w:sz w:val="21"/>
          <w:lang w:eastAsia="zh-CN"/>
        </w:rPr>
        <w:t>〜</w:t>
      </w:r>
      <w:r>
        <w:rPr>
          <w:rFonts w:eastAsiaTheme="minorEastAsia"/>
          <w:color w:val="000000"/>
          <w:sz w:val="21"/>
          <w:lang w:eastAsia="zh-CN"/>
        </w:rPr>
        <w:t>8℃冰箱。</w:t>
      </w:r>
    </w:p>
    <w:p w14:paraId="45AD1A0D">
      <w:pPr>
        <w:adjustRightInd w:val="0"/>
        <w:snapToGrid w:val="0"/>
        <w:spacing w:line="360" w:lineRule="auto"/>
        <w:rPr>
          <w:rFonts w:eastAsiaTheme="minorEastAsia"/>
          <w:color w:val="000000"/>
          <w:sz w:val="21"/>
          <w:lang w:eastAsia="zh-CN"/>
        </w:rPr>
      </w:pPr>
      <w:r>
        <w:rPr>
          <w:rFonts w:hint="eastAsia" w:ascii="黑体" w:hAnsi="黑体" w:eastAsia="黑体" w:cs="黑体"/>
          <w:color w:val="000000"/>
          <w:sz w:val="21"/>
          <w:lang w:eastAsia="zh-CN"/>
        </w:rPr>
        <w:t>5.9</w:t>
      </w:r>
      <w:r>
        <w:rPr>
          <w:rFonts w:hint="eastAsia" w:eastAsiaTheme="minorEastAsia"/>
          <w:color w:val="000000"/>
          <w:sz w:val="21"/>
          <w:lang w:val="en-US" w:eastAsia="zh-CN"/>
        </w:rPr>
        <w:t xml:space="preserve"> </w:t>
      </w:r>
      <w:r>
        <w:rPr>
          <w:rFonts w:eastAsiaTheme="minorEastAsia"/>
          <w:color w:val="000000"/>
          <w:sz w:val="21"/>
          <w:lang w:eastAsia="zh-CN"/>
        </w:rPr>
        <w:t>微量可调移液器：10µL、20µL、100µL、200µL、1000µL。</w:t>
      </w:r>
    </w:p>
    <w:p w14:paraId="1CCD4DA0">
      <w:pPr>
        <w:adjustRightInd w:val="0"/>
        <w:snapToGrid w:val="0"/>
        <w:spacing w:line="360" w:lineRule="auto"/>
        <w:rPr>
          <w:rFonts w:eastAsiaTheme="minorEastAsia"/>
          <w:color w:val="000000"/>
          <w:sz w:val="21"/>
          <w:lang w:eastAsia="zh-CN"/>
        </w:rPr>
      </w:pPr>
      <w:r>
        <w:rPr>
          <w:rFonts w:hint="eastAsia" w:ascii="黑体" w:hAnsi="黑体" w:eastAsia="黑体" w:cs="黑体"/>
          <w:color w:val="000000"/>
          <w:sz w:val="21"/>
          <w:lang w:eastAsia="zh-CN"/>
        </w:rPr>
        <w:t>5.10</w:t>
      </w:r>
      <w:r>
        <w:rPr>
          <w:rFonts w:hint="eastAsia" w:eastAsiaTheme="minorEastAsia"/>
          <w:color w:val="000000"/>
          <w:sz w:val="21"/>
          <w:lang w:val="en-US" w:eastAsia="zh-CN"/>
        </w:rPr>
        <w:t xml:space="preserve"> </w:t>
      </w:r>
      <w:r>
        <w:rPr>
          <w:rFonts w:eastAsiaTheme="minorEastAsia"/>
          <w:color w:val="000000"/>
          <w:sz w:val="21"/>
          <w:lang w:eastAsia="zh-CN"/>
        </w:rPr>
        <w:t>无RNase和DNase 污染的离心管(1.5 mL，2 mL), 无RNase和DNase污染的吸头及PCR 扩增反应管。</w:t>
      </w:r>
    </w:p>
    <w:p w14:paraId="0B27B1FE">
      <w:pPr>
        <w:adjustRightInd w:val="0"/>
        <w:snapToGrid w:val="0"/>
        <w:spacing w:line="360" w:lineRule="auto"/>
        <w:rPr>
          <w:rFonts w:eastAsiaTheme="minorEastAsia"/>
          <w:color w:val="000000"/>
          <w:sz w:val="21"/>
          <w:lang w:eastAsia="zh-CN"/>
        </w:rPr>
      </w:pPr>
      <w:r>
        <w:rPr>
          <w:rFonts w:hint="eastAsia" w:ascii="黑体" w:hAnsi="黑体" w:eastAsia="黑体" w:cs="黑体"/>
          <w:color w:val="000000"/>
          <w:sz w:val="21"/>
          <w:lang w:eastAsia="zh-CN"/>
        </w:rPr>
        <w:t>5.11</w:t>
      </w:r>
      <w:r>
        <w:rPr>
          <w:rFonts w:hint="eastAsia" w:eastAsiaTheme="minorEastAsia"/>
          <w:color w:val="000000"/>
          <w:sz w:val="21"/>
          <w:lang w:val="en-US" w:eastAsia="zh-CN"/>
        </w:rPr>
        <w:t xml:space="preserve"> </w:t>
      </w:r>
      <w:r>
        <w:rPr>
          <w:rFonts w:eastAsiaTheme="minorEastAsia"/>
          <w:color w:val="000000"/>
          <w:sz w:val="21"/>
          <w:lang w:eastAsia="zh-CN"/>
        </w:rPr>
        <w:t>采样工具：棉拭子、剪刀、镊子等。</w:t>
      </w:r>
    </w:p>
    <w:p w14:paraId="0CE41FF7">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6 </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试剂</w:t>
      </w:r>
    </w:p>
    <w:p w14:paraId="26AAED2C">
      <w:pPr>
        <w:spacing w:line="360" w:lineRule="auto"/>
        <w:rPr>
          <w:rFonts w:eastAsiaTheme="minorEastAsia"/>
          <w:color w:val="000000"/>
          <w:sz w:val="21"/>
          <w:lang w:eastAsia="zh-CN"/>
        </w:rPr>
      </w:pPr>
      <w:r>
        <w:rPr>
          <w:rFonts w:hint="eastAsia" w:ascii="黑体" w:hAnsi="黑体" w:eastAsia="黑体" w:cs="黑体"/>
          <w:color w:val="000000"/>
          <w:sz w:val="21"/>
          <w:lang w:eastAsia="zh-CN"/>
        </w:rPr>
        <w:t>6.1</w:t>
      </w:r>
      <w:r>
        <w:rPr>
          <w:rFonts w:eastAsiaTheme="minorEastAsia"/>
          <w:color w:val="000000"/>
          <w:sz w:val="21"/>
          <w:lang w:eastAsia="zh-CN"/>
        </w:rPr>
        <w:t xml:space="preserve"> 抽提试剂:基因组DNA提取试剂盒或其他等效产品。</w:t>
      </w:r>
    </w:p>
    <w:p w14:paraId="06596B6F">
      <w:pPr>
        <w:spacing w:line="360" w:lineRule="auto"/>
        <w:rPr>
          <w:rFonts w:eastAsiaTheme="minorEastAsia"/>
          <w:color w:val="000000"/>
          <w:sz w:val="21"/>
          <w:lang w:eastAsia="zh-CN"/>
        </w:rPr>
      </w:pPr>
      <w:r>
        <w:rPr>
          <w:rFonts w:hint="eastAsia" w:ascii="黑体" w:hAnsi="黑体" w:eastAsia="黑体" w:cs="黑体"/>
          <w:color w:val="000000"/>
          <w:sz w:val="21"/>
          <w:lang w:eastAsia="zh-CN"/>
        </w:rPr>
        <w:t>6.2</w:t>
      </w:r>
      <w:r>
        <w:rPr>
          <w:rFonts w:hint="eastAsia" w:ascii="黑体" w:hAnsi="黑体" w:eastAsia="黑体" w:cs="黑体"/>
          <w:color w:val="000000"/>
          <w:sz w:val="21"/>
          <w:lang w:val="en-US" w:eastAsia="zh-CN"/>
        </w:rPr>
        <w:t xml:space="preserve"> </w:t>
      </w:r>
      <w:r>
        <w:rPr>
          <w:rFonts w:eastAsiaTheme="minorEastAsia"/>
          <w:color w:val="000000"/>
          <w:sz w:val="21"/>
          <w:lang w:eastAsia="zh-CN"/>
        </w:rPr>
        <w:t>无水乙醇。</w:t>
      </w:r>
    </w:p>
    <w:p w14:paraId="2F7B2883">
      <w:pPr>
        <w:spacing w:line="360" w:lineRule="auto"/>
        <w:rPr>
          <w:rFonts w:eastAsiaTheme="minorEastAsia"/>
          <w:color w:val="000000"/>
          <w:sz w:val="21"/>
          <w:lang w:eastAsia="zh-CN"/>
        </w:rPr>
      </w:pPr>
      <w:r>
        <w:rPr>
          <w:rFonts w:hint="eastAsia" w:ascii="黑体" w:hAnsi="黑体" w:eastAsia="黑体" w:cs="黑体"/>
          <w:color w:val="000000"/>
          <w:sz w:val="21"/>
          <w:lang w:eastAsia="zh-CN"/>
        </w:rPr>
        <w:t>6.3</w:t>
      </w:r>
      <w:r>
        <w:rPr>
          <w:rFonts w:hint="eastAsia" w:eastAsiaTheme="minorEastAsia"/>
          <w:color w:val="000000"/>
          <w:sz w:val="21"/>
          <w:lang w:val="en-US" w:eastAsia="zh-CN"/>
        </w:rPr>
        <w:t xml:space="preserve"> </w:t>
      </w:r>
      <w:r>
        <w:rPr>
          <w:rFonts w:eastAsiaTheme="minorEastAsia"/>
          <w:color w:val="000000"/>
          <w:sz w:val="21"/>
          <w:lang w:eastAsia="zh-CN"/>
        </w:rPr>
        <w:t>实时荧光PCR试剂：GoTaq Probe qPCR Master Mix或其他等效产品。</w:t>
      </w:r>
    </w:p>
    <w:p w14:paraId="69D1BD93">
      <w:pPr>
        <w:spacing w:line="360" w:lineRule="auto"/>
        <w:rPr>
          <w:rFonts w:eastAsiaTheme="minorEastAsia"/>
          <w:color w:val="000000"/>
          <w:sz w:val="21"/>
          <w:lang w:eastAsia="zh-CN"/>
        </w:rPr>
      </w:pPr>
      <w:r>
        <w:rPr>
          <w:rFonts w:hint="eastAsia" w:ascii="黑体" w:hAnsi="黑体" w:eastAsia="黑体" w:cs="黑体"/>
          <w:color w:val="000000"/>
          <w:sz w:val="21"/>
          <w:lang w:eastAsia="zh-CN"/>
        </w:rPr>
        <w:t>6.4</w:t>
      </w:r>
      <w:r>
        <w:rPr>
          <w:rFonts w:hint="eastAsia" w:eastAsiaTheme="minorEastAsia"/>
          <w:color w:val="000000"/>
          <w:sz w:val="21"/>
          <w:lang w:val="en-US" w:eastAsia="zh-CN"/>
        </w:rPr>
        <w:t xml:space="preserve"> </w:t>
      </w:r>
      <w:r>
        <w:rPr>
          <w:rFonts w:eastAsiaTheme="minorEastAsia"/>
          <w:color w:val="000000"/>
          <w:sz w:val="21"/>
          <w:lang w:eastAsia="zh-CN"/>
        </w:rPr>
        <w:t>引物和探针：根据表1的序列合成实时荧光PCR引物及探针，引物和探针加无RNase去离子水配制成10µmol/L储备液，-20℃保存。</w:t>
      </w:r>
    </w:p>
    <w:p w14:paraId="2E628E4A">
      <w:pPr>
        <w:spacing w:line="360" w:lineRule="auto"/>
        <w:jc w:val="center"/>
        <w:rPr>
          <w:rFonts w:ascii="宋体" w:hAnsi="宋体" w:cs="宋体"/>
          <w:color w:val="000000"/>
          <w:sz w:val="18"/>
          <w:szCs w:val="18"/>
          <w:lang w:val="zh-CN" w:eastAsia="zh-CN" w:bidi="zh-CN"/>
        </w:rPr>
      </w:pPr>
      <w:r>
        <w:rPr>
          <w:rFonts w:hint="eastAsia" w:ascii="宋体" w:hAnsi="宋体" w:cs="宋体"/>
          <w:color w:val="000000"/>
          <w:sz w:val="18"/>
          <w:szCs w:val="18"/>
          <w:lang w:val="zh-CN" w:eastAsia="zh-CN" w:bidi="zh-CN"/>
        </w:rPr>
        <w:t>表</w:t>
      </w:r>
      <w:r>
        <w:rPr>
          <w:rFonts w:hint="eastAsia" w:eastAsiaTheme="minorEastAsia"/>
          <w:b/>
          <w:bCs/>
          <w:color w:val="000000"/>
          <w:sz w:val="18"/>
          <w:szCs w:val="18"/>
          <w:lang w:val="zh-CN" w:eastAsia="zh-CN" w:bidi="zh-CN"/>
        </w:rPr>
        <w:t xml:space="preserve">1 </w:t>
      </w:r>
      <w:r>
        <w:rPr>
          <w:rFonts w:hint="eastAsia" w:ascii="宋体" w:hAnsi="宋体" w:cs="宋体"/>
          <w:color w:val="000000"/>
          <w:sz w:val="18"/>
          <w:szCs w:val="18"/>
          <w:lang w:val="zh-CN" w:eastAsia="zh-CN" w:bidi="zh-CN"/>
        </w:rPr>
        <w:t>实时荧光</w:t>
      </w:r>
      <w:r>
        <w:rPr>
          <w:rFonts w:ascii="宋体" w:hAnsi="宋体" w:cs="宋体"/>
          <w:color w:val="000000"/>
          <w:sz w:val="18"/>
          <w:szCs w:val="18"/>
          <w:lang w:val="zh-CN" w:eastAsia="zh-CN" w:bidi="zh-CN"/>
        </w:rPr>
        <w:t>RT-PCR</w:t>
      </w:r>
      <w:r>
        <w:rPr>
          <w:rFonts w:hint="eastAsia" w:ascii="宋体" w:hAnsi="宋体" w:cs="宋体"/>
          <w:color w:val="000000"/>
          <w:sz w:val="18"/>
          <w:szCs w:val="18"/>
          <w:lang w:val="zh-CN" w:eastAsia="zh-CN" w:bidi="zh-CN"/>
        </w:rPr>
        <w:t>扩增引物和探针</w:t>
      </w:r>
    </w:p>
    <w:tbl>
      <w:tblPr>
        <w:tblStyle w:val="22"/>
        <w:tblW w:w="0" w:type="auto"/>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4264"/>
        <w:gridCol w:w="4264"/>
      </w:tblGrid>
      <w:tr w14:paraId="005B2A7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264" w:type="dxa"/>
            <w:tcBorders>
              <w:bottom w:val="single" w:color="auto" w:sz="4" w:space="0"/>
            </w:tcBorders>
            <w:vAlign w:val="center"/>
          </w:tcPr>
          <w:p w14:paraId="6332426C">
            <w:pPr>
              <w:spacing w:line="360" w:lineRule="auto"/>
              <w:jc w:val="center"/>
              <w:rPr>
                <w:rFonts w:ascii="黑体" w:hAnsi="黑体" w:cs="黑体" w:eastAsiaTheme="minorEastAsia"/>
                <w:color w:val="000000"/>
                <w:sz w:val="18"/>
                <w:szCs w:val="18"/>
                <w:lang w:eastAsia="zh-CN"/>
              </w:rPr>
            </w:pPr>
            <w:r>
              <w:rPr>
                <w:rFonts w:hint="eastAsia" w:asciiTheme="minorEastAsia" w:hAnsiTheme="minorEastAsia" w:eastAsiaTheme="minorEastAsia"/>
                <w:color w:val="000000"/>
                <w:sz w:val="18"/>
                <w:szCs w:val="18"/>
                <w:lang w:val="zh-CN" w:bidi="zh-CN"/>
              </w:rPr>
              <w:t>引物和探针名称</w:t>
            </w:r>
          </w:p>
        </w:tc>
        <w:tc>
          <w:tcPr>
            <w:tcW w:w="4264" w:type="dxa"/>
            <w:tcBorders>
              <w:bottom w:val="single" w:color="auto" w:sz="4" w:space="0"/>
            </w:tcBorders>
            <w:vAlign w:val="center"/>
          </w:tcPr>
          <w:p w14:paraId="1A2B0B3F">
            <w:pPr>
              <w:spacing w:line="360" w:lineRule="auto"/>
              <w:jc w:val="center"/>
              <w:rPr>
                <w:rFonts w:ascii="黑体" w:hAnsi="黑体" w:cs="黑体" w:eastAsiaTheme="minorEastAsia"/>
                <w:color w:val="000000"/>
                <w:sz w:val="18"/>
                <w:szCs w:val="18"/>
                <w:lang w:eastAsia="zh-CN"/>
              </w:rPr>
            </w:pPr>
            <w:r>
              <w:rPr>
                <w:rFonts w:hint="eastAsia" w:asciiTheme="minorEastAsia" w:hAnsiTheme="minorEastAsia" w:eastAsiaTheme="minorEastAsia"/>
                <w:color w:val="000000"/>
                <w:sz w:val="18"/>
                <w:szCs w:val="18"/>
                <w:lang w:val="zh-CN" w:bidi="zh-CN"/>
              </w:rPr>
              <w:t>引物和探针序列</w:t>
            </w:r>
            <w:r>
              <w:rPr>
                <w:rFonts w:asciiTheme="minorEastAsia" w:hAnsiTheme="minorEastAsia" w:eastAsiaTheme="minorEastAsia"/>
                <w:color w:val="000000"/>
                <w:sz w:val="18"/>
                <w:szCs w:val="18"/>
                <w:lang w:val="zh-CN" w:bidi="zh-CN"/>
              </w:rPr>
              <w:t>(5,-3,)</w:t>
            </w:r>
          </w:p>
        </w:tc>
      </w:tr>
      <w:tr w14:paraId="468E661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264" w:type="dxa"/>
            <w:tcBorders>
              <w:bottom w:val="nil"/>
            </w:tcBorders>
          </w:tcPr>
          <w:p w14:paraId="44798C2C">
            <w:pPr>
              <w:spacing w:line="360" w:lineRule="auto"/>
              <w:jc w:val="center"/>
              <w:rPr>
                <w:rFonts w:ascii="黑体" w:hAnsi="黑体" w:cs="黑体" w:eastAsiaTheme="minorEastAsia"/>
                <w:color w:val="000000"/>
                <w:sz w:val="18"/>
                <w:szCs w:val="18"/>
                <w:lang w:eastAsia="zh-CN"/>
              </w:rPr>
            </w:pPr>
            <w:r>
              <w:rPr>
                <w:rFonts w:hint="eastAsia" w:asciiTheme="minorEastAsia" w:hAnsiTheme="minorEastAsia" w:eastAsiaTheme="minorEastAsia"/>
                <w:color w:val="000000"/>
                <w:sz w:val="18"/>
                <w:szCs w:val="18"/>
                <w:lang w:val="zh-CN" w:bidi="zh-CN"/>
              </w:rPr>
              <w:t>正向引物</w:t>
            </w:r>
            <w:r>
              <w:rPr>
                <w:rFonts w:asciiTheme="minorEastAsia" w:hAnsiTheme="minorEastAsia" w:eastAsiaTheme="minorEastAsia"/>
                <w:color w:val="000000"/>
                <w:sz w:val="18"/>
                <w:szCs w:val="18"/>
                <w:lang w:val="zh-CN" w:bidi="zh-CN"/>
              </w:rPr>
              <w:t xml:space="preserve"> </w:t>
            </w:r>
          </w:p>
        </w:tc>
        <w:tc>
          <w:tcPr>
            <w:tcW w:w="4264" w:type="dxa"/>
            <w:tcBorders>
              <w:bottom w:val="nil"/>
            </w:tcBorders>
          </w:tcPr>
          <w:p w14:paraId="06034583">
            <w:pPr>
              <w:spacing w:line="360" w:lineRule="auto"/>
              <w:jc w:val="center"/>
              <w:rPr>
                <w:rFonts w:ascii="黑体" w:hAnsi="黑体" w:cs="黑体" w:eastAsiaTheme="minorEastAsia"/>
                <w:color w:val="000000"/>
                <w:sz w:val="18"/>
                <w:szCs w:val="18"/>
                <w:lang w:eastAsia="zh-CN"/>
              </w:rPr>
            </w:pPr>
            <w:r>
              <w:rPr>
                <w:rFonts w:asciiTheme="minorEastAsia" w:hAnsiTheme="minorEastAsia" w:eastAsiaTheme="minorEastAsia"/>
                <w:color w:val="000000"/>
                <w:sz w:val="18"/>
                <w:szCs w:val="18"/>
              </w:rPr>
              <w:t xml:space="preserve">ACTGCAGAAACCCAGAACACT </w:t>
            </w:r>
          </w:p>
        </w:tc>
      </w:tr>
      <w:tr w14:paraId="62B581E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264" w:type="dxa"/>
            <w:tcBorders>
              <w:top w:val="nil"/>
              <w:bottom w:val="nil"/>
            </w:tcBorders>
          </w:tcPr>
          <w:p w14:paraId="5FEE6BD9">
            <w:pPr>
              <w:spacing w:line="360" w:lineRule="auto"/>
              <w:jc w:val="center"/>
              <w:rPr>
                <w:rFonts w:ascii="黑体" w:hAnsi="黑体" w:cs="黑体" w:eastAsiaTheme="minorEastAsia"/>
                <w:color w:val="000000"/>
                <w:sz w:val="18"/>
                <w:szCs w:val="18"/>
                <w:lang w:eastAsia="zh-CN"/>
              </w:rPr>
            </w:pPr>
            <w:r>
              <w:rPr>
                <w:rFonts w:hint="eastAsia" w:asciiTheme="minorEastAsia" w:hAnsiTheme="minorEastAsia" w:eastAsiaTheme="minorEastAsia"/>
                <w:color w:val="000000"/>
                <w:sz w:val="18"/>
                <w:szCs w:val="18"/>
                <w:lang w:val="zh-CN" w:bidi="zh-CN"/>
              </w:rPr>
              <w:t>反向引物</w:t>
            </w:r>
          </w:p>
        </w:tc>
        <w:tc>
          <w:tcPr>
            <w:tcW w:w="4264" w:type="dxa"/>
            <w:tcBorders>
              <w:top w:val="nil"/>
              <w:bottom w:val="nil"/>
            </w:tcBorders>
          </w:tcPr>
          <w:p w14:paraId="58AC3D38">
            <w:pPr>
              <w:spacing w:line="360" w:lineRule="auto"/>
              <w:jc w:val="center"/>
              <w:rPr>
                <w:rFonts w:ascii="黑体" w:hAnsi="黑体" w:cs="黑体" w:eastAsiaTheme="minorEastAsia"/>
                <w:color w:val="000000"/>
                <w:sz w:val="18"/>
                <w:szCs w:val="18"/>
                <w:lang w:eastAsia="zh-CN"/>
              </w:rPr>
            </w:pPr>
            <w:r>
              <w:rPr>
                <w:rFonts w:asciiTheme="minorEastAsia" w:hAnsiTheme="minorEastAsia" w:eastAsiaTheme="minorEastAsia"/>
                <w:color w:val="000000"/>
                <w:sz w:val="18"/>
                <w:szCs w:val="18"/>
              </w:rPr>
              <w:t>TGGGCTCAGTTGACCATCTTG</w:t>
            </w:r>
          </w:p>
        </w:tc>
      </w:tr>
      <w:tr w14:paraId="557DCFE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264" w:type="dxa"/>
            <w:tcBorders>
              <w:top w:val="nil"/>
            </w:tcBorders>
          </w:tcPr>
          <w:p w14:paraId="68467993">
            <w:pPr>
              <w:spacing w:line="360" w:lineRule="auto"/>
              <w:jc w:val="center"/>
              <w:rPr>
                <w:rFonts w:ascii="黑体" w:hAnsi="黑体" w:cs="黑体" w:eastAsiaTheme="minorEastAsia"/>
                <w:color w:val="000000"/>
                <w:sz w:val="18"/>
                <w:szCs w:val="18"/>
                <w:lang w:eastAsia="zh-CN"/>
              </w:rPr>
            </w:pPr>
            <w:r>
              <w:rPr>
                <w:rFonts w:asciiTheme="minorEastAsia" w:hAnsiTheme="minorEastAsia" w:eastAsiaTheme="minorEastAsia"/>
                <w:color w:val="000000"/>
                <w:sz w:val="18"/>
                <w:szCs w:val="18"/>
                <w:lang w:val="zh-CN" w:bidi="zh-CN"/>
              </w:rPr>
              <w:t xml:space="preserve"> </w:t>
            </w:r>
            <w:r>
              <w:rPr>
                <w:rFonts w:hint="eastAsia" w:asciiTheme="minorEastAsia" w:hAnsiTheme="minorEastAsia" w:eastAsiaTheme="minorEastAsia"/>
                <w:color w:val="000000"/>
                <w:sz w:val="18"/>
                <w:szCs w:val="18"/>
                <w:lang w:val="zh-CN" w:bidi="zh-CN"/>
              </w:rPr>
              <w:t>探针</w:t>
            </w:r>
          </w:p>
        </w:tc>
        <w:tc>
          <w:tcPr>
            <w:tcW w:w="4264" w:type="dxa"/>
            <w:tcBorders>
              <w:top w:val="nil"/>
            </w:tcBorders>
          </w:tcPr>
          <w:p w14:paraId="72B2EEBD">
            <w:pPr>
              <w:spacing w:line="360" w:lineRule="auto"/>
              <w:jc w:val="center"/>
              <w:rPr>
                <w:rFonts w:ascii="黑体" w:hAnsi="黑体" w:cs="黑体" w:eastAsiaTheme="minorEastAsia"/>
                <w:color w:val="000000"/>
                <w:sz w:val="18"/>
                <w:szCs w:val="18"/>
                <w:lang w:eastAsia="zh-CN"/>
              </w:rPr>
            </w:pPr>
            <w:r>
              <w:rPr>
                <w:rFonts w:asciiTheme="minorEastAsia" w:hAnsiTheme="minorEastAsia" w:eastAsiaTheme="minorEastAsia"/>
                <w:color w:val="000000"/>
                <w:sz w:val="18"/>
                <w:szCs w:val="18"/>
              </w:rPr>
              <w:t>FAM -CTGGTTCCAAAGCCTG–</w:t>
            </w:r>
            <w:r>
              <w:rPr>
                <w:rFonts w:hint="eastAsia" w:asciiTheme="minorEastAsia" w:hAnsiTheme="minorEastAsia" w:eastAsiaTheme="minorEastAsia"/>
                <w:color w:val="000000"/>
                <w:sz w:val="18"/>
                <w:szCs w:val="18"/>
              </w:rPr>
              <w:t>MGB</w:t>
            </w:r>
          </w:p>
        </w:tc>
      </w:tr>
    </w:tbl>
    <w:p w14:paraId="4E68628D">
      <w:pPr>
        <w:pStyle w:val="66"/>
        <w:rPr>
          <w:color w:val="000000"/>
          <w:sz w:val="18"/>
          <w:szCs w:val="18"/>
        </w:rPr>
      </w:pPr>
      <w:r>
        <w:rPr>
          <w:rFonts w:hint="eastAsia"/>
          <w:color w:val="000000"/>
          <w:sz w:val="18"/>
          <w:szCs w:val="18"/>
        </w:rPr>
        <w:t>注：探针也可选用具有与</w:t>
      </w:r>
      <w:r>
        <w:rPr>
          <w:rFonts w:ascii="Times New Roman" w:hAnsi="Times New Roman" w:eastAsia="Times New Roman" w:cs="Times New Roman"/>
          <w:color w:val="000000"/>
          <w:sz w:val="18"/>
          <w:szCs w:val="18"/>
          <w:lang w:val="en-US" w:bidi="en-US"/>
        </w:rPr>
        <w:t>FAM</w:t>
      </w:r>
      <w:r>
        <w:rPr>
          <w:rFonts w:hint="eastAsia"/>
          <w:color w:val="000000"/>
          <w:sz w:val="18"/>
          <w:szCs w:val="18"/>
        </w:rPr>
        <w:t>和</w:t>
      </w:r>
      <w:r>
        <w:rPr>
          <w:rFonts w:hint="eastAsia" w:cs="Times New Roman" w:asciiTheme="minorEastAsia" w:hAnsiTheme="minorEastAsia" w:eastAsiaTheme="minorEastAsia"/>
          <w:color w:val="000000"/>
          <w:sz w:val="18"/>
          <w:szCs w:val="18"/>
          <w:lang w:val="en-US" w:bidi="en-US"/>
        </w:rPr>
        <w:t>MGB</w:t>
      </w:r>
      <w:r>
        <w:rPr>
          <w:rFonts w:hint="eastAsia"/>
          <w:color w:val="000000"/>
          <w:sz w:val="18"/>
          <w:szCs w:val="18"/>
        </w:rPr>
        <w:t>荧光基团相同检测效果的其他合适的荧光报告基团和荧光淬灭基团组合。</w:t>
      </w:r>
    </w:p>
    <w:p w14:paraId="15998C39">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7 </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样品采集</w:t>
      </w:r>
    </w:p>
    <w:p w14:paraId="3EA527B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生物安全要求</w:t>
      </w:r>
    </w:p>
    <w:p w14:paraId="60F29756">
      <w:pPr>
        <w:spacing w:line="360" w:lineRule="auto"/>
        <w:ind w:firstLine="420" w:firstLineChars="200"/>
        <w:rPr>
          <w:color w:val="000000"/>
          <w:sz w:val="21"/>
          <w:lang w:eastAsia="zh-CN"/>
        </w:rPr>
      </w:pPr>
      <w:r>
        <w:rPr>
          <w:color w:val="000000"/>
          <w:sz w:val="21"/>
          <w:lang w:eastAsia="zh-CN"/>
        </w:rPr>
        <w:t>实验操作及处理按照GB 19489的规定，由具备相关资质的工作人员进行相应操作。</w:t>
      </w:r>
    </w:p>
    <w:p w14:paraId="55A4ACFC">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7.2 采样及样本的处理</w:t>
      </w:r>
    </w:p>
    <w:p w14:paraId="4F0A660D">
      <w:pPr>
        <w:spacing w:line="360" w:lineRule="auto"/>
        <w:ind w:firstLine="420" w:firstLineChars="200"/>
        <w:rPr>
          <w:rFonts w:ascii="黑体" w:hAnsi="黑体" w:eastAsia="黑体" w:cs="黑体"/>
          <w:color w:val="000000"/>
          <w:sz w:val="21"/>
          <w:lang w:eastAsia="zh-CN"/>
        </w:rPr>
      </w:pPr>
      <w:r>
        <w:rPr>
          <w:rFonts w:hint="eastAsia"/>
          <w:color w:val="000000"/>
          <w:sz w:val="21"/>
          <w:lang w:eastAsia="zh-CN"/>
        </w:rPr>
        <w:t>无菌采集实验动物血液、组织、动物环境样本等。血液样本8</w:t>
      </w:r>
      <w:r>
        <w:rPr>
          <w:color w:val="000000"/>
          <w:sz w:val="21"/>
          <w:lang w:eastAsia="zh-CN"/>
        </w:rPr>
        <w:t>000 r/min离心</w:t>
      </w:r>
      <w:r>
        <w:rPr>
          <w:rFonts w:hint="eastAsia"/>
          <w:color w:val="000000"/>
          <w:sz w:val="21"/>
          <w:lang w:eastAsia="zh-CN"/>
        </w:rPr>
        <w:t>10</w:t>
      </w:r>
      <w:r>
        <w:rPr>
          <w:color w:val="000000"/>
          <w:sz w:val="21"/>
          <w:lang w:eastAsia="zh-CN"/>
        </w:rPr>
        <w:t>min</w:t>
      </w:r>
      <w:r>
        <w:rPr>
          <w:rFonts w:hint="eastAsia"/>
          <w:color w:val="000000"/>
          <w:sz w:val="21"/>
          <w:lang w:eastAsia="zh-CN"/>
        </w:rPr>
        <w:t>取上清</w:t>
      </w:r>
      <w:r>
        <w:rPr>
          <w:color w:val="000000"/>
          <w:sz w:val="21"/>
          <w:lang w:eastAsia="zh-CN"/>
        </w:rPr>
        <w:t>，编号备用</w:t>
      </w:r>
      <w:r>
        <w:rPr>
          <w:rFonts w:hint="eastAsia"/>
          <w:color w:val="000000"/>
          <w:sz w:val="21"/>
          <w:lang w:eastAsia="zh-CN"/>
        </w:rPr>
        <w:t>；组织样本</w:t>
      </w:r>
      <w:r>
        <w:rPr>
          <w:color w:val="000000"/>
          <w:sz w:val="21"/>
          <w:lang w:eastAsia="zh-CN"/>
        </w:rPr>
        <w:t>匀浆器充分匀浆</w:t>
      </w:r>
      <w:r>
        <w:rPr>
          <w:rFonts w:hint="eastAsia"/>
          <w:color w:val="000000"/>
          <w:sz w:val="21"/>
          <w:lang w:eastAsia="zh-CN"/>
        </w:rPr>
        <w:t>后，</w:t>
      </w:r>
      <w:r>
        <w:rPr>
          <w:color w:val="000000"/>
          <w:sz w:val="21"/>
          <w:lang w:eastAsia="zh-CN"/>
        </w:rPr>
        <w:t>12000 r/min离心</w:t>
      </w:r>
      <w:r>
        <w:rPr>
          <w:rFonts w:hint="eastAsia"/>
          <w:color w:val="000000"/>
          <w:sz w:val="21"/>
          <w:lang w:eastAsia="zh-CN"/>
        </w:rPr>
        <w:t>5</w:t>
      </w:r>
      <w:r>
        <w:rPr>
          <w:color w:val="000000"/>
          <w:sz w:val="21"/>
          <w:lang w:eastAsia="zh-CN"/>
        </w:rPr>
        <w:t>min取上清液，编号备用</w:t>
      </w:r>
      <w:r>
        <w:rPr>
          <w:rFonts w:hint="eastAsia"/>
          <w:color w:val="000000"/>
          <w:sz w:val="21"/>
          <w:lang w:eastAsia="zh-CN"/>
        </w:rPr>
        <w:t>；环境样本中</w:t>
      </w:r>
      <w:r>
        <w:rPr>
          <w:color w:val="000000"/>
          <w:sz w:val="21"/>
          <w:lang w:eastAsia="zh-CN"/>
        </w:rPr>
        <w:t>饲料、垫料</w:t>
      </w:r>
      <w:r>
        <w:rPr>
          <w:rFonts w:hint="eastAsia"/>
          <w:color w:val="000000"/>
          <w:sz w:val="21"/>
          <w:lang w:eastAsia="zh-CN"/>
        </w:rPr>
        <w:t>、</w:t>
      </w:r>
      <w:r>
        <w:rPr>
          <w:color w:val="000000"/>
          <w:sz w:val="21"/>
          <w:lang w:eastAsia="zh-CN"/>
        </w:rPr>
        <w:t>拭取设施设备</w:t>
      </w:r>
      <w:r>
        <w:rPr>
          <w:rFonts w:hint="eastAsia"/>
          <w:color w:val="000000"/>
          <w:sz w:val="21"/>
          <w:lang w:eastAsia="zh-CN"/>
        </w:rPr>
        <w:t>的无菌</w:t>
      </w:r>
      <w:r>
        <w:rPr>
          <w:color w:val="000000"/>
          <w:sz w:val="21"/>
          <w:lang w:eastAsia="zh-CN"/>
        </w:rPr>
        <w:t>拭子</w:t>
      </w:r>
      <w:r>
        <w:rPr>
          <w:rFonts w:hint="eastAsia"/>
          <w:color w:val="000000"/>
          <w:sz w:val="21"/>
          <w:lang w:eastAsia="zh-CN"/>
        </w:rPr>
        <w:t>等放入适量灭菌PBS</w:t>
      </w:r>
      <w:r>
        <w:rPr>
          <w:color w:val="000000"/>
          <w:sz w:val="21"/>
          <w:lang w:eastAsia="zh-CN"/>
        </w:rPr>
        <w:t>密封后</w:t>
      </w:r>
      <w:r>
        <w:rPr>
          <w:rFonts w:hint="eastAsia"/>
          <w:color w:val="000000"/>
          <w:sz w:val="21"/>
          <w:lang w:eastAsia="zh-CN"/>
        </w:rPr>
        <w:t>，</w:t>
      </w:r>
      <w:r>
        <w:rPr>
          <w:color w:val="000000"/>
          <w:sz w:val="21"/>
          <w:lang w:eastAsia="zh-CN"/>
        </w:rPr>
        <w:t>浸泡5~10 min</w:t>
      </w:r>
      <w:r>
        <w:rPr>
          <w:rFonts w:hint="eastAsia"/>
          <w:color w:val="000000"/>
          <w:sz w:val="21"/>
          <w:lang w:eastAsia="zh-CN"/>
        </w:rPr>
        <w:t>，</w:t>
      </w:r>
      <w:r>
        <w:rPr>
          <w:color w:val="000000"/>
          <w:sz w:val="21"/>
          <w:lang w:eastAsia="zh-CN"/>
        </w:rPr>
        <w:t>12000 r/min离心</w:t>
      </w:r>
      <w:r>
        <w:rPr>
          <w:rFonts w:hint="eastAsia"/>
          <w:color w:val="000000"/>
          <w:sz w:val="21"/>
          <w:lang w:eastAsia="zh-CN"/>
        </w:rPr>
        <w:t>5</w:t>
      </w:r>
      <w:r>
        <w:rPr>
          <w:color w:val="000000"/>
          <w:sz w:val="21"/>
          <w:lang w:eastAsia="zh-CN"/>
        </w:rPr>
        <w:t>min取上清液编号备用</w:t>
      </w:r>
      <w:r>
        <w:rPr>
          <w:rFonts w:hint="eastAsia"/>
          <w:color w:val="000000"/>
          <w:sz w:val="21"/>
          <w:lang w:eastAsia="zh-CN"/>
        </w:rPr>
        <w:t>。</w:t>
      </w:r>
    </w:p>
    <w:p w14:paraId="25DE0B86">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7.3</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样本的存放</w:t>
      </w:r>
    </w:p>
    <w:p w14:paraId="526CE401">
      <w:pPr>
        <w:spacing w:line="360" w:lineRule="auto"/>
        <w:rPr>
          <w:color w:val="000000"/>
          <w:sz w:val="21"/>
          <w:lang w:eastAsia="zh-CN"/>
        </w:rPr>
      </w:pPr>
      <w:r>
        <w:rPr>
          <w:rFonts w:hint="eastAsia"/>
          <w:color w:val="000000"/>
          <w:sz w:val="21"/>
          <w:lang w:eastAsia="zh-CN"/>
        </w:rPr>
        <w:t xml:space="preserve">    </w:t>
      </w:r>
      <w:r>
        <w:rPr>
          <w:color w:val="000000"/>
          <w:sz w:val="21"/>
          <w:lang w:eastAsia="zh-CN"/>
        </w:rPr>
        <w:t>采集或处理的样本在2</w:t>
      </w:r>
      <w:r>
        <w:rPr>
          <w:rFonts w:hint="eastAsia"/>
          <w:color w:val="000000"/>
          <w:sz w:val="21"/>
          <w:lang w:eastAsia="zh-CN"/>
        </w:rPr>
        <w:t>〜</w:t>
      </w:r>
      <w:r>
        <w:rPr>
          <w:color w:val="000000"/>
          <w:sz w:val="21"/>
          <w:lang w:eastAsia="zh-CN"/>
        </w:rPr>
        <w:t>8</w:t>
      </w:r>
      <w:r>
        <w:rPr>
          <w:rFonts w:hint="eastAsia" w:ascii="宋体" w:hAnsi="宋体"/>
          <w:color w:val="000000"/>
          <w:sz w:val="21"/>
          <w:lang w:eastAsia="zh-CN"/>
        </w:rPr>
        <w:t>℃</w:t>
      </w:r>
      <w:r>
        <w:rPr>
          <w:color w:val="000000"/>
          <w:sz w:val="21"/>
          <w:lang w:eastAsia="zh-CN"/>
        </w:rPr>
        <w:t>条件下保存应不超过24 h</w:t>
      </w:r>
      <w:r>
        <w:rPr>
          <w:rFonts w:hint="eastAsia"/>
          <w:color w:val="000000"/>
          <w:sz w:val="21"/>
          <w:lang w:eastAsia="zh-CN"/>
        </w:rPr>
        <w:t>；</w:t>
      </w:r>
      <w:r>
        <w:rPr>
          <w:color w:val="000000"/>
          <w:sz w:val="21"/>
          <w:lang w:eastAsia="zh-CN"/>
        </w:rPr>
        <w:t>若需长期保存，须放置-80</w:t>
      </w:r>
      <w:r>
        <w:rPr>
          <w:rFonts w:hint="eastAsia" w:ascii="宋体" w:hAnsi="宋体"/>
          <w:color w:val="000000"/>
          <w:sz w:val="21"/>
          <w:lang w:eastAsia="zh-CN"/>
        </w:rPr>
        <w:t>℃</w:t>
      </w:r>
      <w:r>
        <w:rPr>
          <w:color w:val="000000"/>
          <w:sz w:val="21"/>
          <w:lang w:eastAsia="zh-CN"/>
        </w:rPr>
        <w:t>冰箱，但应避免反复冻融</w:t>
      </w:r>
      <w:r>
        <w:rPr>
          <w:rFonts w:hint="eastAsia"/>
          <w:color w:val="000000"/>
          <w:sz w:val="21"/>
          <w:lang w:eastAsia="zh-CN"/>
        </w:rPr>
        <w:t>（</w:t>
      </w:r>
      <w:r>
        <w:rPr>
          <w:color w:val="000000"/>
          <w:sz w:val="21"/>
          <w:lang w:eastAsia="zh-CN"/>
        </w:rPr>
        <w:t>冻融不超过3次</w:t>
      </w:r>
      <w:r>
        <w:rPr>
          <w:rFonts w:hint="eastAsia"/>
          <w:color w:val="000000"/>
          <w:sz w:val="21"/>
          <w:lang w:eastAsia="zh-CN"/>
        </w:rPr>
        <w:t>）</w:t>
      </w:r>
      <w:r>
        <w:rPr>
          <w:color w:val="000000"/>
          <w:sz w:val="21"/>
          <w:lang w:eastAsia="zh-CN"/>
        </w:rPr>
        <w:t>。</w:t>
      </w:r>
    </w:p>
    <w:p w14:paraId="3673C96A">
      <w:pPr>
        <w:spacing w:line="360" w:lineRule="auto"/>
        <w:rPr>
          <w:rFonts w:ascii="黑体" w:hAnsi="黑体" w:eastAsia="黑体" w:cs="黑体"/>
          <w:color w:val="000000"/>
          <w:sz w:val="21"/>
          <w:lang w:eastAsia="zh-CN"/>
        </w:rPr>
      </w:pPr>
      <w:r>
        <w:rPr>
          <w:rFonts w:ascii="黑体" w:hAnsi="黑体" w:eastAsia="黑体" w:cs="黑体"/>
          <w:color w:val="000000"/>
          <w:sz w:val="21"/>
          <w:lang w:eastAsia="zh-CN"/>
        </w:rPr>
        <w:t>8</w:t>
      </w:r>
      <w:r>
        <w:rPr>
          <w:rFonts w:hint="eastAsia" w:ascii="黑体" w:hAnsi="黑体" w:eastAsia="黑体" w:cs="黑体"/>
          <w:color w:val="000000"/>
          <w:sz w:val="21"/>
          <w:lang w:eastAsia="zh-CN"/>
        </w:rPr>
        <w:t xml:space="preserve"> </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试验步骤</w:t>
      </w:r>
    </w:p>
    <w:p w14:paraId="1302B330">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8.1</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样本DNA提取</w:t>
      </w:r>
    </w:p>
    <w:p w14:paraId="69A0FD72">
      <w:pPr>
        <w:spacing w:line="360" w:lineRule="auto"/>
        <w:ind w:firstLine="420" w:firstLineChars="200"/>
        <w:rPr>
          <w:color w:val="000000"/>
          <w:sz w:val="21"/>
          <w:szCs w:val="21"/>
          <w:lang w:eastAsia="zh-CN"/>
        </w:rPr>
      </w:pPr>
      <w:r>
        <w:rPr>
          <w:rFonts w:hint="eastAsia"/>
          <w:color w:val="000000"/>
          <w:sz w:val="21"/>
          <w:szCs w:val="21"/>
          <w:lang w:eastAsia="zh-CN"/>
        </w:rPr>
        <w:t>在样本处理区进行。为防止核酸降解，所用试验用具及溶液应无核酸酶，操作过程中应佩戴一次性橡胶或乳胶手套。</w:t>
      </w:r>
      <w:r>
        <w:rPr>
          <w:color w:val="000000"/>
          <w:sz w:val="21"/>
          <w:szCs w:val="21"/>
          <w:lang w:eastAsia="zh-CN"/>
        </w:rPr>
        <w:t>可采用商业化</w:t>
      </w:r>
      <w:r>
        <w:rPr>
          <w:rFonts w:hint="eastAsia"/>
          <w:color w:val="000000"/>
          <w:sz w:val="21"/>
          <w:szCs w:val="21"/>
          <w:lang w:eastAsia="zh-CN"/>
        </w:rPr>
        <w:t>D</w:t>
      </w:r>
      <w:r>
        <w:rPr>
          <w:color w:val="000000"/>
          <w:sz w:val="21"/>
          <w:szCs w:val="21"/>
          <w:lang w:eastAsia="zh-CN"/>
        </w:rPr>
        <w:t>NA抽提试剂盒</w:t>
      </w:r>
      <w:r>
        <w:rPr>
          <w:rFonts w:hint="eastAsia"/>
          <w:color w:val="000000"/>
          <w:sz w:val="21"/>
          <w:szCs w:val="21"/>
          <w:lang w:eastAsia="zh-CN"/>
        </w:rPr>
        <w:t>进行提取，</w:t>
      </w:r>
      <w:r>
        <w:rPr>
          <w:color w:val="000000"/>
          <w:sz w:val="21"/>
          <w:szCs w:val="21"/>
          <w:lang w:eastAsia="zh-CN"/>
        </w:rPr>
        <w:t>提取方法可进行相应调整。</w:t>
      </w:r>
    </w:p>
    <w:p w14:paraId="6027E36A">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8.2</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实时荧光</w:t>
      </w:r>
      <w:r>
        <w:rPr>
          <w:rFonts w:ascii="黑体" w:hAnsi="黑体" w:eastAsia="黑体" w:cs="黑体"/>
          <w:color w:val="000000"/>
          <w:sz w:val="21"/>
          <w:lang w:eastAsia="zh-CN"/>
        </w:rPr>
        <w:t>PCR</w:t>
      </w:r>
    </w:p>
    <w:p w14:paraId="754C5403">
      <w:pPr>
        <w:spacing w:line="360" w:lineRule="auto"/>
        <w:rPr>
          <w:color w:val="000000"/>
          <w:sz w:val="21"/>
          <w:lang w:eastAsia="zh-CN"/>
        </w:rPr>
      </w:pPr>
      <w:r>
        <w:rPr>
          <w:rFonts w:hint="eastAsia"/>
          <w:color w:val="000000"/>
          <w:sz w:val="21"/>
          <w:lang w:eastAsia="zh-CN"/>
        </w:rPr>
        <w:t>8.2.1</w:t>
      </w:r>
      <w:r>
        <w:rPr>
          <w:rFonts w:hint="eastAsia"/>
          <w:color w:val="000000"/>
          <w:sz w:val="21"/>
          <w:lang w:val="en-US" w:eastAsia="zh-CN"/>
        </w:rPr>
        <w:t xml:space="preserve"> </w:t>
      </w:r>
      <w:r>
        <w:rPr>
          <w:rFonts w:hint="eastAsia"/>
          <w:color w:val="000000"/>
          <w:sz w:val="21"/>
          <w:lang w:eastAsia="zh-CN"/>
        </w:rPr>
        <w:t>实时荧光</w:t>
      </w:r>
      <w:r>
        <w:rPr>
          <w:color w:val="000000"/>
          <w:sz w:val="21"/>
          <w:lang w:eastAsia="zh-CN"/>
        </w:rPr>
        <w:t>PCR</w:t>
      </w:r>
      <w:r>
        <w:rPr>
          <w:rFonts w:hint="eastAsia"/>
          <w:color w:val="000000"/>
          <w:sz w:val="21"/>
          <w:lang w:eastAsia="zh-CN"/>
        </w:rPr>
        <w:t>反应体系</w:t>
      </w:r>
    </w:p>
    <w:p w14:paraId="16B36A0E">
      <w:pPr>
        <w:spacing w:line="360" w:lineRule="auto"/>
        <w:ind w:firstLine="435"/>
        <w:rPr>
          <w:color w:val="000000"/>
          <w:sz w:val="21"/>
          <w:lang w:eastAsia="zh-CN"/>
        </w:rPr>
      </w:pPr>
      <w:r>
        <w:rPr>
          <w:rFonts w:hint="eastAsia"/>
          <w:color w:val="000000"/>
          <w:sz w:val="21"/>
          <w:lang w:eastAsia="zh-CN"/>
        </w:rPr>
        <w:t>实时荧光</w:t>
      </w:r>
      <w:r>
        <w:rPr>
          <w:color w:val="000000"/>
          <w:sz w:val="21"/>
          <w:lang w:eastAsia="zh-CN"/>
        </w:rPr>
        <w:t>PCR</w:t>
      </w:r>
      <w:r>
        <w:rPr>
          <w:rFonts w:hint="eastAsia"/>
          <w:color w:val="000000"/>
          <w:sz w:val="21"/>
          <w:lang w:eastAsia="zh-CN"/>
        </w:rPr>
        <w:t>反应体系见表2。若使用其他公司实时荧光</w:t>
      </w:r>
      <w:r>
        <w:rPr>
          <w:color w:val="000000"/>
          <w:sz w:val="21"/>
          <w:lang w:eastAsia="zh-CN"/>
        </w:rPr>
        <w:t>PCR</w:t>
      </w:r>
      <w:r>
        <w:rPr>
          <w:rFonts w:hint="eastAsia"/>
          <w:color w:val="000000"/>
          <w:sz w:val="21"/>
          <w:lang w:eastAsia="zh-CN"/>
        </w:rPr>
        <w:t>试剂，应按照其说明书规定的反应体系进行操作。</w:t>
      </w:r>
    </w:p>
    <w:p w14:paraId="2E1B5665">
      <w:pPr>
        <w:spacing w:line="360" w:lineRule="auto"/>
        <w:ind w:firstLine="435"/>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eastAsia="zh-CN"/>
        </w:rPr>
        <w:t xml:space="preserve">表2  </w:t>
      </w:r>
      <w:r>
        <w:rPr>
          <w:rFonts w:hint="eastAsia" w:asciiTheme="minorEastAsia" w:hAnsiTheme="minorEastAsia" w:eastAsiaTheme="minorEastAsia"/>
          <w:color w:val="000000"/>
          <w:sz w:val="18"/>
          <w:szCs w:val="18"/>
          <w:lang w:val="zh-CN" w:eastAsia="zh-CN" w:bidi="zh-CN"/>
        </w:rPr>
        <w:t>实时荧光</w:t>
      </w:r>
      <w:r>
        <w:rPr>
          <w:rFonts w:asciiTheme="minorEastAsia" w:hAnsiTheme="minorEastAsia" w:eastAsiaTheme="minorEastAsia"/>
          <w:b/>
          <w:bCs/>
          <w:color w:val="000000"/>
          <w:sz w:val="18"/>
          <w:szCs w:val="18"/>
          <w:lang w:eastAsia="zh-CN"/>
        </w:rPr>
        <w:t>PCR</w:t>
      </w:r>
      <w:r>
        <w:rPr>
          <w:rFonts w:hint="eastAsia" w:asciiTheme="minorEastAsia" w:hAnsiTheme="minorEastAsia" w:eastAsiaTheme="minorEastAsia"/>
          <w:color w:val="000000"/>
          <w:sz w:val="18"/>
          <w:szCs w:val="18"/>
          <w:lang w:val="zh-CN" w:eastAsia="zh-CN" w:bidi="zh-CN"/>
        </w:rPr>
        <w:t>反应体系</w:t>
      </w:r>
    </w:p>
    <w:tbl>
      <w:tblPr>
        <w:tblStyle w:val="22"/>
        <w:tblW w:w="0" w:type="auto"/>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4077"/>
        <w:gridCol w:w="2127"/>
        <w:gridCol w:w="2324"/>
      </w:tblGrid>
      <w:tr w14:paraId="52D5048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077" w:type="dxa"/>
            <w:tcBorders>
              <w:bottom w:val="single" w:color="auto" w:sz="4" w:space="0"/>
            </w:tcBorders>
            <w:vAlign w:val="center"/>
          </w:tcPr>
          <w:p w14:paraId="221C46CC">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val="zh-CN" w:bidi="zh-CN"/>
              </w:rPr>
              <w:t>反应组分</w:t>
            </w:r>
          </w:p>
        </w:tc>
        <w:tc>
          <w:tcPr>
            <w:tcW w:w="2127" w:type="dxa"/>
            <w:tcBorders>
              <w:bottom w:val="single" w:color="auto" w:sz="4" w:space="0"/>
            </w:tcBorders>
            <w:vAlign w:val="center"/>
          </w:tcPr>
          <w:p w14:paraId="31D4D53B">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bCs/>
                <w:color w:val="000000"/>
                <w:sz w:val="18"/>
                <w:szCs w:val="18"/>
                <w:lang w:val="zh-CN" w:bidi="zh-CN"/>
              </w:rPr>
              <w:t>用量</w:t>
            </w:r>
            <w:r>
              <w:rPr>
                <w:rFonts w:asciiTheme="minorEastAsia" w:hAnsiTheme="minorEastAsia" w:eastAsiaTheme="minorEastAsia"/>
                <w:bCs/>
                <w:color w:val="000000"/>
                <w:sz w:val="18"/>
                <w:szCs w:val="18"/>
              </w:rPr>
              <w:t>/</w:t>
            </w:r>
            <w:r>
              <w:rPr>
                <w:rFonts w:hint="eastAsia" w:asciiTheme="minorEastAsia" w:hAnsiTheme="minorEastAsia" w:eastAsiaTheme="minorEastAsia"/>
                <w:bCs/>
                <w:color w:val="000000"/>
                <w:sz w:val="18"/>
                <w:szCs w:val="18"/>
              </w:rPr>
              <w:t>m</w:t>
            </w:r>
            <w:r>
              <w:rPr>
                <w:rFonts w:asciiTheme="minorEastAsia" w:hAnsiTheme="minorEastAsia" w:eastAsiaTheme="minorEastAsia"/>
                <w:bCs/>
                <w:color w:val="000000"/>
                <w:sz w:val="18"/>
                <w:szCs w:val="18"/>
              </w:rPr>
              <w:t>L</w:t>
            </w:r>
          </w:p>
        </w:tc>
        <w:tc>
          <w:tcPr>
            <w:tcW w:w="2324" w:type="dxa"/>
            <w:tcBorders>
              <w:bottom w:val="single" w:color="auto" w:sz="4" w:space="0"/>
            </w:tcBorders>
            <w:vAlign w:val="center"/>
          </w:tcPr>
          <w:p w14:paraId="4D04F919">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val="zh-CN" w:bidi="zh-CN"/>
              </w:rPr>
              <w:t>终浓度</w:t>
            </w:r>
          </w:p>
        </w:tc>
      </w:tr>
      <w:tr w14:paraId="0FD5774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077" w:type="dxa"/>
            <w:tcBorders>
              <w:bottom w:val="nil"/>
            </w:tcBorders>
            <w:vAlign w:val="center"/>
          </w:tcPr>
          <w:p w14:paraId="511C9892">
            <w:pPr>
              <w:adjustRightInd w:val="0"/>
              <w:spacing w:line="360" w:lineRule="auto"/>
              <w:jc w:val="center"/>
              <w:rPr>
                <w:rFonts w:asciiTheme="minorEastAsia" w:hAnsiTheme="minorEastAsia" w:eastAsiaTheme="minorEastAsia"/>
                <w:color w:val="000000"/>
                <w:sz w:val="18"/>
                <w:szCs w:val="18"/>
                <w:lang w:eastAsia="zh-CN" w:bidi="zh-CN"/>
              </w:rPr>
            </w:pPr>
            <w:r>
              <w:rPr>
                <w:rFonts w:asciiTheme="minorEastAsia" w:hAnsiTheme="minorEastAsia" w:eastAsiaTheme="minorEastAsia"/>
                <w:color w:val="000000"/>
                <w:sz w:val="18"/>
                <w:szCs w:val="18"/>
                <w:lang w:bidi="zh-CN"/>
              </w:rPr>
              <w:t>2x</w:t>
            </w:r>
            <w:r>
              <w:rPr>
                <w:rFonts w:hint="eastAsia" w:asciiTheme="minorEastAsia" w:hAnsiTheme="minorEastAsia" w:eastAsiaTheme="minorEastAsia"/>
                <w:color w:val="000000"/>
                <w:sz w:val="18"/>
                <w:szCs w:val="18"/>
                <w:lang w:bidi="zh-CN"/>
              </w:rPr>
              <w:t>GoTaq Probe qPCR Master Mix</w:t>
            </w:r>
          </w:p>
        </w:tc>
        <w:tc>
          <w:tcPr>
            <w:tcW w:w="2127" w:type="dxa"/>
            <w:tcBorders>
              <w:bottom w:val="nil"/>
            </w:tcBorders>
            <w:vAlign w:val="center"/>
          </w:tcPr>
          <w:p w14:paraId="511602D6">
            <w:pPr>
              <w:adjustRightInd w:val="0"/>
              <w:spacing w:line="360" w:lineRule="auto"/>
              <w:jc w:val="center"/>
              <w:rPr>
                <w:rFonts w:asciiTheme="minorEastAsia" w:hAnsiTheme="minorEastAsia" w:eastAsiaTheme="minorEastAsia"/>
                <w:color w:val="000000"/>
                <w:sz w:val="18"/>
                <w:szCs w:val="18"/>
                <w:lang w:eastAsia="zh-CN" w:bidi="zh-CN"/>
              </w:rPr>
            </w:pPr>
            <w:r>
              <w:rPr>
                <w:rFonts w:asciiTheme="minorEastAsia" w:hAnsiTheme="minorEastAsia" w:eastAsiaTheme="minorEastAsia"/>
                <w:color w:val="000000"/>
                <w:sz w:val="18"/>
                <w:szCs w:val="18"/>
                <w:lang w:val="zh-CN" w:bidi="zh-CN"/>
              </w:rPr>
              <w:t>10</w:t>
            </w:r>
          </w:p>
        </w:tc>
        <w:tc>
          <w:tcPr>
            <w:tcW w:w="2324" w:type="dxa"/>
            <w:tcBorders>
              <w:bottom w:val="nil"/>
            </w:tcBorders>
            <w:vAlign w:val="center"/>
          </w:tcPr>
          <w:p w14:paraId="5477B7DD">
            <w:pPr>
              <w:adjustRightInd w:val="0"/>
              <w:spacing w:line="360" w:lineRule="auto"/>
              <w:jc w:val="center"/>
              <w:rPr>
                <w:rFonts w:asciiTheme="minorEastAsia" w:hAnsiTheme="minorEastAsia" w:eastAsiaTheme="minorEastAsia"/>
                <w:color w:val="000000"/>
                <w:sz w:val="18"/>
                <w:szCs w:val="18"/>
                <w:lang w:eastAsia="zh-CN" w:bidi="zh-CN"/>
              </w:rPr>
            </w:pPr>
            <w:r>
              <w:rPr>
                <w:rFonts w:asciiTheme="minorEastAsia" w:hAnsiTheme="minorEastAsia" w:eastAsiaTheme="minorEastAsia"/>
                <w:color w:val="000000"/>
                <w:sz w:val="18"/>
                <w:szCs w:val="18"/>
                <w:lang w:val="zh-CN" w:bidi="zh-CN"/>
              </w:rPr>
              <w:t>1X</w:t>
            </w:r>
          </w:p>
        </w:tc>
      </w:tr>
      <w:tr w14:paraId="4F77711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077" w:type="dxa"/>
            <w:tcBorders>
              <w:top w:val="nil"/>
              <w:bottom w:val="nil"/>
            </w:tcBorders>
            <w:vAlign w:val="center"/>
          </w:tcPr>
          <w:p w14:paraId="0B4C7D30">
            <w:pPr>
              <w:adjustRightInd w:val="0"/>
              <w:spacing w:line="360" w:lineRule="auto"/>
              <w:jc w:val="center"/>
              <w:rPr>
                <w:rFonts w:asciiTheme="minorEastAsia" w:hAnsiTheme="minorEastAsia" w:eastAsiaTheme="minorEastAsia"/>
                <w:color w:val="000000"/>
                <w:sz w:val="18"/>
                <w:szCs w:val="18"/>
                <w:lang w:eastAsia="zh-CN" w:bidi="zh-CN"/>
              </w:rPr>
            </w:pPr>
            <w:r>
              <w:rPr>
                <w:rFonts w:hint="eastAsia" w:asciiTheme="minorEastAsia" w:hAnsiTheme="minorEastAsia" w:eastAsiaTheme="minorEastAsia"/>
                <w:color w:val="000000"/>
                <w:sz w:val="18"/>
                <w:szCs w:val="18"/>
                <w:lang w:val="zh-CN" w:bidi="zh-CN"/>
              </w:rPr>
              <w:t>正向引物</w:t>
            </w:r>
            <w:r>
              <w:rPr>
                <w:rFonts w:asciiTheme="minorEastAsia" w:hAnsiTheme="minorEastAsia" w:eastAsiaTheme="minorEastAsia"/>
                <w:color w:val="000000"/>
                <w:sz w:val="18"/>
                <w:szCs w:val="18"/>
                <w:lang w:bidi="zh-CN"/>
              </w:rPr>
              <w:t>(l</w:t>
            </w:r>
            <w:r>
              <w:rPr>
                <w:rFonts w:hint="eastAsia" w:asciiTheme="minorEastAsia" w:hAnsiTheme="minorEastAsia" w:eastAsiaTheme="minorEastAsia"/>
                <w:color w:val="000000"/>
                <w:sz w:val="18"/>
                <w:szCs w:val="18"/>
                <w:lang w:bidi="zh-CN"/>
              </w:rPr>
              <w:t>0</w:t>
            </w:r>
            <w:r>
              <w:rPr>
                <w:rFonts w:asciiTheme="minorEastAsia" w:hAnsiTheme="minorEastAsia" w:eastAsiaTheme="minorEastAsia"/>
                <w:color w:val="000000"/>
                <w:sz w:val="18"/>
                <w:szCs w:val="18"/>
                <w:lang w:bidi="zh-CN"/>
              </w:rPr>
              <w:t>µmol/L)</w:t>
            </w:r>
          </w:p>
        </w:tc>
        <w:tc>
          <w:tcPr>
            <w:tcW w:w="2127" w:type="dxa"/>
            <w:tcBorders>
              <w:top w:val="nil"/>
              <w:bottom w:val="nil"/>
            </w:tcBorders>
            <w:vAlign w:val="center"/>
          </w:tcPr>
          <w:p w14:paraId="106B50FD">
            <w:pPr>
              <w:adjustRightInd w:val="0"/>
              <w:spacing w:line="360" w:lineRule="auto"/>
              <w:jc w:val="center"/>
              <w:rPr>
                <w:rFonts w:asciiTheme="minorEastAsia" w:hAnsiTheme="minorEastAsia" w:eastAsiaTheme="minorEastAsia"/>
                <w:color w:val="000000"/>
                <w:sz w:val="18"/>
                <w:szCs w:val="18"/>
                <w:lang w:eastAsia="zh-CN" w:bidi="zh-CN"/>
              </w:rPr>
            </w:pPr>
            <w:r>
              <w:rPr>
                <w:rFonts w:asciiTheme="minorEastAsia" w:hAnsiTheme="minorEastAsia" w:eastAsiaTheme="minorEastAsia"/>
                <w:color w:val="000000"/>
                <w:sz w:val="18"/>
                <w:szCs w:val="18"/>
                <w:lang w:val="zh-CN" w:bidi="zh-CN"/>
              </w:rPr>
              <w:t>0.</w:t>
            </w:r>
            <w:r>
              <w:rPr>
                <w:rFonts w:hint="eastAsia" w:asciiTheme="minorEastAsia" w:hAnsiTheme="minorEastAsia" w:eastAsiaTheme="minorEastAsia"/>
                <w:color w:val="000000"/>
                <w:sz w:val="18"/>
                <w:szCs w:val="18"/>
                <w:lang w:val="zh-CN" w:bidi="zh-CN"/>
              </w:rPr>
              <w:t>4</w:t>
            </w:r>
          </w:p>
        </w:tc>
        <w:tc>
          <w:tcPr>
            <w:tcW w:w="2324" w:type="dxa"/>
            <w:tcBorders>
              <w:top w:val="nil"/>
              <w:bottom w:val="nil"/>
            </w:tcBorders>
            <w:vAlign w:val="center"/>
          </w:tcPr>
          <w:p w14:paraId="000EB662">
            <w:pPr>
              <w:adjustRightInd w:val="0"/>
              <w:spacing w:line="360" w:lineRule="auto"/>
              <w:jc w:val="center"/>
              <w:rPr>
                <w:rFonts w:asciiTheme="minorEastAsia" w:hAnsiTheme="minorEastAsia" w:eastAsiaTheme="minorEastAsia"/>
                <w:color w:val="000000"/>
                <w:sz w:val="18"/>
                <w:szCs w:val="18"/>
                <w:lang w:eastAsia="zh-CN" w:bidi="zh-CN"/>
              </w:rPr>
            </w:pPr>
            <w:r>
              <w:rPr>
                <w:rFonts w:hint="eastAsia" w:asciiTheme="minorEastAsia" w:hAnsiTheme="minorEastAsia" w:eastAsiaTheme="minorEastAsia"/>
                <w:color w:val="000000"/>
                <w:sz w:val="18"/>
                <w:szCs w:val="18"/>
                <w:lang w:val="zh-CN" w:bidi="zh-CN"/>
              </w:rPr>
              <w:t>2</w:t>
            </w:r>
            <w:r>
              <w:rPr>
                <w:rFonts w:asciiTheme="minorEastAsia" w:hAnsiTheme="minorEastAsia" w:eastAsiaTheme="minorEastAsia"/>
                <w:color w:val="000000"/>
                <w:sz w:val="18"/>
                <w:szCs w:val="18"/>
                <w:lang w:val="zh-CN" w:bidi="zh-CN"/>
              </w:rPr>
              <w:t>00 nmol/L</w:t>
            </w:r>
          </w:p>
        </w:tc>
      </w:tr>
      <w:tr w14:paraId="048FD28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077" w:type="dxa"/>
            <w:tcBorders>
              <w:top w:val="nil"/>
              <w:bottom w:val="nil"/>
            </w:tcBorders>
            <w:vAlign w:val="center"/>
          </w:tcPr>
          <w:p w14:paraId="343B697C">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val="zh-CN" w:bidi="zh-CN"/>
              </w:rPr>
              <w:t>反向引物</w:t>
            </w:r>
            <w:r>
              <w:rPr>
                <w:rFonts w:asciiTheme="minorEastAsia" w:hAnsiTheme="minorEastAsia" w:eastAsiaTheme="minorEastAsia"/>
                <w:color w:val="000000"/>
                <w:sz w:val="18"/>
                <w:szCs w:val="18"/>
                <w:lang w:val="zh-CN" w:bidi="zh-CN"/>
              </w:rPr>
              <w:t>(10µmol/L)</w:t>
            </w:r>
          </w:p>
        </w:tc>
        <w:tc>
          <w:tcPr>
            <w:tcW w:w="2127" w:type="dxa"/>
            <w:tcBorders>
              <w:top w:val="nil"/>
              <w:bottom w:val="nil"/>
            </w:tcBorders>
            <w:vAlign w:val="center"/>
          </w:tcPr>
          <w:p w14:paraId="664A9C80">
            <w:pPr>
              <w:adjustRightInd w:val="0"/>
              <w:spacing w:line="360" w:lineRule="auto"/>
              <w:jc w:val="center"/>
              <w:rPr>
                <w:rFonts w:asciiTheme="minorEastAsia" w:hAnsiTheme="minorEastAsia" w:eastAsiaTheme="minorEastAsia"/>
                <w:color w:val="000000"/>
                <w:sz w:val="18"/>
                <w:szCs w:val="18"/>
                <w:lang w:val="zh-CN" w:eastAsia="zh-CN" w:bidi="zh-CN"/>
              </w:rPr>
            </w:pPr>
            <w:r>
              <w:rPr>
                <w:rFonts w:asciiTheme="minorEastAsia" w:hAnsiTheme="minorEastAsia" w:eastAsiaTheme="minorEastAsia"/>
                <w:color w:val="000000"/>
                <w:sz w:val="18"/>
                <w:szCs w:val="18"/>
                <w:lang w:val="zh-CN" w:bidi="zh-CN"/>
              </w:rPr>
              <w:t>0.</w:t>
            </w:r>
            <w:r>
              <w:rPr>
                <w:rFonts w:hint="eastAsia" w:asciiTheme="minorEastAsia" w:hAnsiTheme="minorEastAsia" w:eastAsiaTheme="minorEastAsia"/>
                <w:color w:val="000000"/>
                <w:sz w:val="18"/>
                <w:szCs w:val="18"/>
                <w:lang w:val="zh-CN" w:bidi="zh-CN"/>
              </w:rPr>
              <w:t>4</w:t>
            </w:r>
          </w:p>
        </w:tc>
        <w:tc>
          <w:tcPr>
            <w:tcW w:w="2324" w:type="dxa"/>
            <w:tcBorders>
              <w:top w:val="nil"/>
              <w:bottom w:val="nil"/>
            </w:tcBorders>
            <w:vAlign w:val="center"/>
          </w:tcPr>
          <w:p w14:paraId="5762CE43">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val="zh-CN" w:bidi="zh-CN"/>
              </w:rPr>
              <w:t>2</w:t>
            </w:r>
            <w:r>
              <w:rPr>
                <w:rFonts w:asciiTheme="minorEastAsia" w:hAnsiTheme="minorEastAsia" w:eastAsiaTheme="minorEastAsia"/>
                <w:color w:val="000000"/>
                <w:sz w:val="18"/>
                <w:szCs w:val="18"/>
                <w:lang w:val="zh-CN" w:bidi="zh-CN"/>
              </w:rPr>
              <w:t>00 nmol/L</w:t>
            </w:r>
          </w:p>
        </w:tc>
      </w:tr>
      <w:tr w14:paraId="44853B2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077" w:type="dxa"/>
            <w:tcBorders>
              <w:top w:val="nil"/>
              <w:bottom w:val="nil"/>
            </w:tcBorders>
            <w:vAlign w:val="center"/>
          </w:tcPr>
          <w:p w14:paraId="1C8C7E5B">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val="zh-CN" w:bidi="zh-CN"/>
              </w:rPr>
              <w:t>探针</w:t>
            </w:r>
            <w:r>
              <w:rPr>
                <w:rFonts w:asciiTheme="minorEastAsia" w:hAnsiTheme="minorEastAsia" w:eastAsiaTheme="minorEastAsia"/>
                <w:color w:val="000000"/>
                <w:sz w:val="18"/>
                <w:szCs w:val="18"/>
                <w:lang w:val="zh-CN" w:bidi="zh-CN"/>
              </w:rPr>
              <w:t>(</w:t>
            </w:r>
            <w:r>
              <w:rPr>
                <w:rFonts w:hint="eastAsia" w:asciiTheme="minorEastAsia" w:hAnsiTheme="minorEastAsia" w:eastAsiaTheme="minorEastAsia"/>
                <w:color w:val="000000"/>
                <w:sz w:val="18"/>
                <w:szCs w:val="18"/>
                <w:lang w:val="zh-CN" w:bidi="zh-CN"/>
              </w:rPr>
              <w:t>10</w:t>
            </w:r>
            <w:r>
              <w:rPr>
                <w:rFonts w:asciiTheme="minorEastAsia" w:hAnsiTheme="minorEastAsia" w:eastAsiaTheme="minorEastAsia"/>
                <w:color w:val="000000"/>
                <w:sz w:val="18"/>
                <w:szCs w:val="18"/>
                <w:lang w:val="zh-CN" w:bidi="zh-CN"/>
              </w:rPr>
              <w:t>pmol/L)</w:t>
            </w:r>
          </w:p>
        </w:tc>
        <w:tc>
          <w:tcPr>
            <w:tcW w:w="2127" w:type="dxa"/>
            <w:tcBorders>
              <w:top w:val="nil"/>
              <w:bottom w:val="nil"/>
            </w:tcBorders>
            <w:vAlign w:val="center"/>
          </w:tcPr>
          <w:p w14:paraId="54D81F75">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val="zh-CN" w:bidi="zh-CN"/>
              </w:rPr>
              <w:t>0.2</w:t>
            </w:r>
          </w:p>
        </w:tc>
        <w:tc>
          <w:tcPr>
            <w:tcW w:w="2324" w:type="dxa"/>
            <w:tcBorders>
              <w:top w:val="nil"/>
              <w:bottom w:val="nil"/>
            </w:tcBorders>
            <w:vAlign w:val="center"/>
          </w:tcPr>
          <w:p w14:paraId="023BA067">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val="zh-CN" w:bidi="zh-CN"/>
              </w:rPr>
              <w:t>10</w:t>
            </w:r>
            <w:r>
              <w:rPr>
                <w:rFonts w:asciiTheme="minorEastAsia" w:hAnsiTheme="minorEastAsia" w:eastAsiaTheme="minorEastAsia"/>
                <w:color w:val="000000"/>
                <w:sz w:val="18"/>
                <w:szCs w:val="18"/>
                <w:lang w:val="zh-CN" w:bidi="zh-CN"/>
              </w:rPr>
              <w:t>0 nmol/L</w:t>
            </w:r>
          </w:p>
        </w:tc>
      </w:tr>
      <w:tr w14:paraId="09E4641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077" w:type="dxa"/>
            <w:tcBorders>
              <w:top w:val="nil"/>
              <w:bottom w:val="nil"/>
            </w:tcBorders>
            <w:vAlign w:val="center"/>
          </w:tcPr>
          <w:p w14:paraId="463C0A30">
            <w:pPr>
              <w:adjustRightInd w:val="0"/>
              <w:spacing w:line="360" w:lineRule="auto"/>
              <w:jc w:val="center"/>
              <w:rPr>
                <w:rFonts w:asciiTheme="minorEastAsia" w:hAnsiTheme="minorEastAsia" w:eastAsiaTheme="minorEastAsia"/>
                <w:color w:val="000000"/>
                <w:sz w:val="18"/>
                <w:szCs w:val="18"/>
                <w:lang w:eastAsia="zh-CN" w:bidi="zh-CN"/>
              </w:rPr>
            </w:pPr>
            <w:r>
              <w:rPr>
                <w:rFonts w:hint="eastAsia" w:asciiTheme="minorEastAsia" w:hAnsiTheme="minorEastAsia" w:eastAsiaTheme="minorEastAsia"/>
                <w:color w:val="000000"/>
                <w:sz w:val="18"/>
                <w:szCs w:val="18"/>
                <w:lang w:bidi="zh-CN"/>
              </w:rPr>
              <w:t xml:space="preserve">CXR Reference Dye </w:t>
            </w:r>
            <w:r>
              <w:rPr>
                <w:rFonts w:asciiTheme="minorEastAsia" w:hAnsiTheme="minorEastAsia" w:eastAsiaTheme="minorEastAsia"/>
                <w:color w:val="000000"/>
                <w:sz w:val="18"/>
                <w:szCs w:val="18"/>
                <w:lang w:bidi="zh-CN"/>
              </w:rPr>
              <w:t xml:space="preserve">( </w:t>
            </w:r>
            <w:r>
              <w:rPr>
                <w:rFonts w:hint="eastAsia" w:asciiTheme="minorEastAsia" w:hAnsiTheme="minorEastAsia" w:eastAsiaTheme="minorEastAsia"/>
                <w:color w:val="000000"/>
                <w:sz w:val="18"/>
                <w:szCs w:val="18"/>
                <w:lang w:bidi="zh-CN"/>
              </w:rPr>
              <w:t>30µM</w:t>
            </w:r>
            <w:r>
              <w:rPr>
                <w:rFonts w:asciiTheme="minorEastAsia" w:hAnsiTheme="minorEastAsia" w:eastAsiaTheme="minorEastAsia"/>
                <w:color w:val="000000"/>
                <w:sz w:val="18"/>
                <w:szCs w:val="18"/>
                <w:lang w:bidi="zh-CN"/>
              </w:rPr>
              <w:t>)</w:t>
            </w:r>
          </w:p>
        </w:tc>
        <w:tc>
          <w:tcPr>
            <w:tcW w:w="2127" w:type="dxa"/>
            <w:tcBorders>
              <w:top w:val="nil"/>
              <w:bottom w:val="nil"/>
            </w:tcBorders>
            <w:vAlign w:val="center"/>
          </w:tcPr>
          <w:p w14:paraId="085F9FF1">
            <w:pPr>
              <w:adjustRightInd w:val="0"/>
              <w:spacing w:line="360" w:lineRule="auto"/>
              <w:jc w:val="center"/>
              <w:rPr>
                <w:rFonts w:asciiTheme="minorEastAsia" w:hAnsiTheme="minorEastAsia" w:eastAsiaTheme="minorEastAsia"/>
                <w:color w:val="000000"/>
                <w:sz w:val="18"/>
                <w:szCs w:val="18"/>
                <w:lang w:eastAsia="zh-CN" w:bidi="zh-CN"/>
              </w:rPr>
            </w:pPr>
            <w:r>
              <w:rPr>
                <w:rFonts w:hint="eastAsia" w:asciiTheme="minorEastAsia" w:hAnsiTheme="minorEastAsia" w:eastAsiaTheme="minorEastAsia"/>
                <w:color w:val="000000"/>
                <w:sz w:val="18"/>
                <w:szCs w:val="18"/>
                <w:lang w:val="zh-CN" w:bidi="zh-CN"/>
              </w:rPr>
              <w:t>0.02</w:t>
            </w:r>
          </w:p>
        </w:tc>
        <w:tc>
          <w:tcPr>
            <w:tcW w:w="2324" w:type="dxa"/>
            <w:tcBorders>
              <w:top w:val="nil"/>
              <w:bottom w:val="nil"/>
            </w:tcBorders>
            <w:vAlign w:val="center"/>
          </w:tcPr>
          <w:p w14:paraId="5787A57C">
            <w:pPr>
              <w:adjustRightInd w:val="0"/>
              <w:spacing w:line="360" w:lineRule="auto"/>
              <w:jc w:val="center"/>
              <w:rPr>
                <w:rFonts w:asciiTheme="minorEastAsia" w:hAnsiTheme="minorEastAsia" w:eastAsiaTheme="minorEastAsia"/>
                <w:color w:val="000000"/>
                <w:sz w:val="18"/>
                <w:szCs w:val="18"/>
                <w:lang w:eastAsia="zh-CN" w:bidi="zh-CN"/>
              </w:rPr>
            </w:pPr>
            <w:r>
              <w:rPr>
                <w:rFonts w:hint="eastAsia" w:asciiTheme="minorEastAsia" w:hAnsiTheme="minorEastAsia" w:eastAsiaTheme="minorEastAsia"/>
                <w:color w:val="000000"/>
                <w:sz w:val="18"/>
                <w:szCs w:val="18"/>
                <w:lang w:val="zh-CN" w:eastAsia="zh-CN" w:bidi="zh-CN"/>
              </w:rPr>
              <w:t>30nM</w:t>
            </w:r>
          </w:p>
        </w:tc>
      </w:tr>
      <w:tr w14:paraId="3F6A08B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077" w:type="dxa"/>
            <w:tcBorders>
              <w:top w:val="nil"/>
              <w:bottom w:val="nil"/>
            </w:tcBorders>
            <w:vAlign w:val="center"/>
          </w:tcPr>
          <w:p w14:paraId="19E051E6">
            <w:pPr>
              <w:adjustRightInd w:val="0"/>
              <w:spacing w:line="360" w:lineRule="auto"/>
              <w:jc w:val="center"/>
              <w:rPr>
                <w:rFonts w:asciiTheme="minorEastAsia" w:hAnsiTheme="minorEastAsia" w:eastAsiaTheme="minorEastAsia"/>
                <w:color w:val="000000"/>
                <w:sz w:val="18"/>
                <w:szCs w:val="18"/>
                <w:lang w:val="zh-CN" w:eastAsia="zh-CN" w:bidi="zh-CN"/>
              </w:rPr>
            </w:pPr>
            <w:r>
              <w:rPr>
                <w:rFonts w:asciiTheme="minorEastAsia" w:hAnsiTheme="minorEastAsia" w:eastAsiaTheme="minorEastAsia"/>
                <w:color w:val="000000"/>
                <w:sz w:val="18"/>
                <w:szCs w:val="18"/>
                <w:lang w:val="zh-CN" w:bidi="zh-CN"/>
              </w:rPr>
              <w:t>cDNA</w:t>
            </w:r>
            <w:r>
              <w:rPr>
                <w:rFonts w:hint="eastAsia" w:asciiTheme="minorEastAsia" w:hAnsiTheme="minorEastAsia" w:eastAsiaTheme="minorEastAsia"/>
                <w:color w:val="000000"/>
                <w:sz w:val="18"/>
                <w:szCs w:val="18"/>
                <w:lang w:val="zh-CN" w:bidi="zh-CN"/>
              </w:rPr>
              <w:t>模板</w:t>
            </w:r>
          </w:p>
        </w:tc>
        <w:tc>
          <w:tcPr>
            <w:tcW w:w="2127" w:type="dxa"/>
            <w:tcBorders>
              <w:top w:val="nil"/>
              <w:bottom w:val="nil"/>
            </w:tcBorders>
            <w:vAlign w:val="center"/>
          </w:tcPr>
          <w:p w14:paraId="4DB296FB">
            <w:pPr>
              <w:adjustRightInd w:val="0"/>
              <w:spacing w:line="360" w:lineRule="auto"/>
              <w:jc w:val="center"/>
              <w:rPr>
                <w:rFonts w:asciiTheme="minorEastAsia" w:hAnsiTheme="minorEastAsia" w:eastAsiaTheme="minorEastAsia"/>
                <w:color w:val="000000"/>
                <w:sz w:val="18"/>
                <w:szCs w:val="18"/>
                <w:lang w:val="zh-CN" w:eastAsia="zh-CN" w:bidi="zh-CN"/>
              </w:rPr>
            </w:pPr>
            <w:r>
              <w:rPr>
                <w:rFonts w:asciiTheme="minorEastAsia" w:hAnsiTheme="minorEastAsia" w:eastAsiaTheme="minorEastAsia"/>
                <w:color w:val="000000"/>
                <w:sz w:val="18"/>
                <w:szCs w:val="18"/>
                <w:lang w:val="zh-CN" w:bidi="zh-CN"/>
              </w:rPr>
              <w:t>2</w:t>
            </w:r>
          </w:p>
        </w:tc>
        <w:tc>
          <w:tcPr>
            <w:tcW w:w="2324" w:type="dxa"/>
            <w:tcBorders>
              <w:top w:val="nil"/>
              <w:bottom w:val="nil"/>
            </w:tcBorders>
            <w:vAlign w:val="center"/>
          </w:tcPr>
          <w:p w14:paraId="5756FE63">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val="zh-CN" w:eastAsia="zh-CN" w:bidi="zh-CN"/>
              </w:rPr>
              <w:t>/</w:t>
            </w:r>
          </w:p>
        </w:tc>
      </w:tr>
      <w:tr w14:paraId="68DBC69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077" w:type="dxa"/>
            <w:tcBorders>
              <w:top w:val="nil"/>
              <w:bottom w:val="nil"/>
            </w:tcBorders>
            <w:vAlign w:val="center"/>
          </w:tcPr>
          <w:p w14:paraId="5C7FDEAA">
            <w:pPr>
              <w:adjustRightInd w:val="0"/>
              <w:spacing w:line="360" w:lineRule="auto"/>
              <w:jc w:val="center"/>
              <w:rPr>
                <w:rFonts w:asciiTheme="minorEastAsia" w:hAnsiTheme="minorEastAsia" w:eastAsiaTheme="minorEastAsia"/>
                <w:color w:val="000000"/>
                <w:sz w:val="18"/>
                <w:szCs w:val="18"/>
                <w:lang w:val="zh-CN" w:eastAsia="zh-CN" w:bidi="zh-CN"/>
              </w:rPr>
            </w:pPr>
            <w:r>
              <w:rPr>
                <w:rFonts w:asciiTheme="minorEastAsia" w:hAnsiTheme="minorEastAsia" w:eastAsiaTheme="minorEastAsia"/>
                <w:color w:val="000000"/>
                <w:sz w:val="18"/>
                <w:szCs w:val="18"/>
                <w:lang w:val="zh-CN" w:bidi="zh-CN"/>
              </w:rPr>
              <w:t>Nuclease-Free Water</w:t>
            </w:r>
          </w:p>
        </w:tc>
        <w:tc>
          <w:tcPr>
            <w:tcW w:w="2127" w:type="dxa"/>
            <w:tcBorders>
              <w:top w:val="nil"/>
              <w:bottom w:val="nil"/>
            </w:tcBorders>
            <w:vAlign w:val="center"/>
          </w:tcPr>
          <w:p w14:paraId="308E00B7">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val="zh-CN" w:bidi="zh-CN"/>
              </w:rPr>
              <w:t>6.98</w:t>
            </w:r>
          </w:p>
        </w:tc>
        <w:tc>
          <w:tcPr>
            <w:tcW w:w="2324" w:type="dxa"/>
            <w:tcBorders>
              <w:top w:val="nil"/>
              <w:bottom w:val="nil"/>
            </w:tcBorders>
            <w:vAlign w:val="center"/>
          </w:tcPr>
          <w:p w14:paraId="52BE47F8">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val="zh-CN" w:eastAsia="zh-CN" w:bidi="zh-CN"/>
              </w:rPr>
              <w:t>/</w:t>
            </w:r>
          </w:p>
        </w:tc>
      </w:tr>
      <w:tr w14:paraId="330B45B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077" w:type="dxa"/>
            <w:tcBorders>
              <w:top w:val="nil"/>
            </w:tcBorders>
            <w:vAlign w:val="center"/>
          </w:tcPr>
          <w:p w14:paraId="0E957FDF">
            <w:pPr>
              <w:adjustRightInd w:val="0"/>
              <w:spacing w:line="360" w:lineRule="auto"/>
              <w:jc w:val="center"/>
              <w:rPr>
                <w:rFonts w:asciiTheme="minorEastAsia" w:hAnsiTheme="minorEastAsia" w:eastAsiaTheme="minorEastAsia"/>
                <w:color w:val="000000"/>
                <w:sz w:val="18"/>
                <w:szCs w:val="18"/>
                <w:lang w:val="zh-CN" w:bidi="zh-CN"/>
              </w:rPr>
            </w:pPr>
            <w:r>
              <w:rPr>
                <w:rFonts w:hint="eastAsia" w:asciiTheme="minorEastAsia" w:hAnsiTheme="minorEastAsia" w:eastAsiaTheme="minorEastAsia"/>
                <w:color w:val="000000"/>
                <w:sz w:val="18"/>
                <w:szCs w:val="18"/>
                <w:lang w:val="zh-CN" w:bidi="zh-CN"/>
              </w:rPr>
              <w:t>总体积</w:t>
            </w:r>
          </w:p>
        </w:tc>
        <w:tc>
          <w:tcPr>
            <w:tcW w:w="2127" w:type="dxa"/>
            <w:tcBorders>
              <w:top w:val="nil"/>
            </w:tcBorders>
            <w:vAlign w:val="center"/>
          </w:tcPr>
          <w:p w14:paraId="185738CC">
            <w:pPr>
              <w:adjustRightInd w:val="0"/>
              <w:spacing w:line="360" w:lineRule="auto"/>
              <w:jc w:val="center"/>
              <w:rPr>
                <w:rFonts w:asciiTheme="minorEastAsia" w:hAnsiTheme="minorEastAsia" w:eastAsiaTheme="minorEastAsia"/>
                <w:color w:val="000000"/>
                <w:sz w:val="18"/>
                <w:szCs w:val="18"/>
                <w:lang w:val="zh-CN" w:bidi="zh-CN"/>
              </w:rPr>
            </w:pPr>
            <w:r>
              <w:rPr>
                <w:rFonts w:asciiTheme="minorEastAsia" w:hAnsiTheme="minorEastAsia" w:eastAsiaTheme="minorEastAsia"/>
                <w:color w:val="000000"/>
                <w:sz w:val="18"/>
                <w:szCs w:val="18"/>
                <w:lang w:val="zh-CN" w:bidi="zh-CN"/>
              </w:rPr>
              <w:t>20</w:t>
            </w:r>
          </w:p>
        </w:tc>
        <w:tc>
          <w:tcPr>
            <w:tcW w:w="2324" w:type="dxa"/>
            <w:tcBorders>
              <w:top w:val="nil"/>
            </w:tcBorders>
            <w:vAlign w:val="center"/>
          </w:tcPr>
          <w:p w14:paraId="652AB915">
            <w:pPr>
              <w:adjustRightInd w:val="0"/>
              <w:spacing w:line="360" w:lineRule="auto"/>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val="zh-CN" w:eastAsia="zh-CN" w:bidi="zh-CN"/>
              </w:rPr>
              <w:t>/</w:t>
            </w:r>
          </w:p>
        </w:tc>
      </w:tr>
    </w:tbl>
    <w:p w14:paraId="4B952DEF">
      <w:pPr>
        <w:pStyle w:val="68"/>
        <w:spacing w:line="240" w:lineRule="auto"/>
        <w:ind w:firstLine="0"/>
        <w:rPr>
          <w:color w:val="000000"/>
          <w:sz w:val="18"/>
          <w:szCs w:val="18"/>
          <w:lang w:bidi="zh-CN"/>
        </w:rPr>
      </w:pPr>
      <w:r>
        <w:rPr>
          <w:rFonts w:hint="eastAsia"/>
          <w:color w:val="000000"/>
          <w:sz w:val="18"/>
          <w:szCs w:val="18"/>
          <w:lang w:val="zh-CN" w:bidi="zh-CN"/>
        </w:rPr>
        <w:t>注</w:t>
      </w:r>
      <w:r>
        <w:rPr>
          <w:rFonts w:hint="eastAsia"/>
          <w:color w:val="000000"/>
          <w:sz w:val="18"/>
          <w:szCs w:val="18"/>
          <w:lang w:bidi="zh-CN"/>
        </w:rPr>
        <w:t>：1）Bio- Rad</w:t>
      </w:r>
      <w:r>
        <w:rPr>
          <w:rFonts w:hint="eastAsia"/>
          <w:color w:val="000000"/>
          <w:sz w:val="18"/>
          <w:szCs w:val="18"/>
          <w:lang w:val="zh-CN" w:bidi="zh-CN"/>
        </w:rPr>
        <w:t>、</w:t>
      </w:r>
      <w:r>
        <w:rPr>
          <w:rFonts w:hint="eastAsia"/>
          <w:color w:val="000000"/>
          <w:sz w:val="18"/>
          <w:szCs w:val="18"/>
          <w:lang w:bidi="zh-CN"/>
        </w:rPr>
        <w:t xml:space="preserve">Roche </w:t>
      </w:r>
      <w:r>
        <w:rPr>
          <w:rFonts w:hint="eastAsia"/>
          <w:color w:val="000000"/>
          <w:sz w:val="18"/>
          <w:szCs w:val="18"/>
          <w:lang w:val="zh-CN" w:bidi="zh-CN"/>
        </w:rPr>
        <w:t>及</w:t>
      </w:r>
      <w:r>
        <w:rPr>
          <w:rFonts w:hint="eastAsia"/>
          <w:color w:val="000000"/>
          <w:sz w:val="18"/>
          <w:szCs w:val="18"/>
          <w:lang w:bidi="zh-CN"/>
        </w:rPr>
        <w:t xml:space="preserve"> Eppendorf </w:t>
      </w:r>
      <w:r>
        <w:rPr>
          <w:rFonts w:hint="eastAsia"/>
          <w:color w:val="000000"/>
          <w:sz w:val="18"/>
          <w:szCs w:val="18"/>
          <w:lang w:val="zh-CN" w:bidi="zh-CN"/>
        </w:rPr>
        <w:t>等品牌仪器无需添加参比染料。</w:t>
      </w:r>
    </w:p>
    <w:p w14:paraId="61B5738C">
      <w:pPr>
        <w:pStyle w:val="68"/>
        <w:spacing w:line="240" w:lineRule="auto"/>
        <w:ind w:firstLine="288" w:firstLineChars="160"/>
        <w:rPr>
          <w:color w:val="000000"/>
          <w:sz w:val="18"/>
          <w:szCs w:val="18"/>
          <w:lang w:val="zh-CN" w:bidi="zh-CN"/>
        </w:rPr>
      </w:pPr>
      <w:r>
        <w:rPr>
          <w:rFonts w:hint="eastAsia"/>
          <w:color w:val="000000"/>
          <w:sz w:val="18"/>
          <w:szCs w:val="18"/>
          <w:lang w:bidi="zh-CN"/>
        </w:rPr>
        <w:t>2）</w:t>
      </w:r>
      <w:r>
        <w:rPr>
          <w:rFonts w:hint="eastAsia"/>
          <w:color w:val="000000"/>
          <w:sz w:val="18"/>
          <w:szCs w:val="18"/>
          <w:lang w:val="zh-CN" w:bidi="zh-CN"/>
        </w:rPr>
        <w:t>针对其他仪器推荐的</w:t>
      </w:r>
      <w:r>
        <w:rPr>
          <w:rFonts w:hint="eastAsia"/>
          <w:color w:val="000000"/>
          <w:sz w:val="18"/>
          <w:szCs w:val="18"/>
          <w:lang w:bidi="zh-CN"/>
        </w:rPr>
        <w:t xml:space="preserve"> CXR </w:t>
      </w:r>
      <w:r>
        <w:rPr>
          <w:rFonts w:hint="eastAsia"/>
          <w:color w:val="000000"/>
          <w:sz w:val="18"/>
          <w:szCs w:val="18"/>
          <w:lang w:val="zh-CN" w:bidi="zh-CN"/>
        </w:rPr>
        <w:t>参比染料浓度及添加方式如下</w:t>
      </w:r>
      <w:r>
        <w:rPr>
          <w:rFonts w:hint="eastAsia"/>
          <w:color w:val="000000"/>
          <w:sz w:val="18"/>
          <w:szCs w:val="18"/>
          <w:lang w:bidi="zh-CN"/>
        </w:rPr>
        <w:t xml:space="preserve">： ABI 7500 </w:t>
      </w:r>
      <w:r>
        <w:rPr>
          <w:rFonts w:hint="eastAsia"/>
          <w:color w:val="000000"/>
          <w:sz w:val="18"/>
          <w:szCs w:val="18"/>
          <w:lang w:val="zh-CN" w:bidi="zh-CN"/>
        </w:rPr>
        <w:t>和</w:t>
      </w:r>
      <w:r>
        <w:rPr>
          <w:rFonts w:hint="eastAsia"/>
          <w:color w:val="000000"/>
          <w:sz w:val="18"/>
          <w:szCs w:val="18"/>
          <w:lang w:bidi="zh-CN"/>
        </w:rPr>
        <w:t xml:space="preserve"> 7500 FAST</w:t>
      </w:r>
      <w:r>
        <w:rPr>
          <w:rFonts w:hint="eastAsia"/>
          <w:color w:val="000000"/>
          <w:sz w:val="18"/>
          <w:szCs w:val="18"/>
          <w:lang w:val="zh-CN" w:bidi="zh-CN"/>
        </w:rPr>
        <w:t>、</w:t>
      </w:r>
      <w:r>
        <w:rPr>
          <w:rFonts w:hint="eastAsia"/>
          <w:color w:val="000000"/>
          <w:sz w:val="18"/>
          <w:szCs w:val="18"/>
          <w:lang w:bidi="zh-CN"/>
        </w:rPr>
        <w:t xml:space="preserve">QuantStudio ® </w:t>
      </w:r>
      <w:r>
        <w:rPr>
          <w:rFonts w:hint="eastAsia"/>
          <w:color w:val="000000"/>
          <w:sz w:val="18"/>
          <w:szCs w:val="18"/>
          <w:lang w:val="zh-CN" w:bidi="zh-CN"/>
        </w:rPr>
        <w:t>、</w:t>
      </w:r>
      <w:r>
        <w:rPr>
          <w:rFonts w:hint="eastAsia"/>
          <w:color w:val="000000"/>
          <w:sz w:val="18"/>
          <w:szCs w:val="18"/>
          <w:lang w:bidi="zh-CN"/>
        </w:rPr>
        <w:t xml:space="preserve">ViiA ® 7 </w:t>
      </w:r>
      <w:r>
        <w:rPr>
          <w:rFonts w:hint="eastAsia"/>
          <w:color w:val="000000"/>
          <w:sz w:val="18"/>
          <w:szCs w:val="18"/>
          <w:lang w:val="zh-CN" w:bidi="zh-CN"/>
        </w:rPr>
        <w:t>及</w:t>
      </w:r>
      <w:r>
        <w:rPr>
          <w:rFonts w:hint="eastAsia"/>
          <w:color w:val="000000"/>
          <w:sz w:val="18"/>
          <w:szCs w:val="18"/>
          <w:lang w:bidi="zh-CN"/>
        </w:rPr>
        <w:t xml:space="preserve"> Stratagene/Agilent </w:t>
      </w:r>
      <w:r>
        <w:rPr>
          <w:rFonts w:hint="eastAsia"/>
          <w:color w:val="000000"/>
          <w:sz w:val="18"/>
          <w:szCs w:val="18"/>
          <w:lang w:val="zh-CN" w:bidi="zh-CN"/>
        </w:rPr>
        <w:t>等品牌仪器需要加入较低浓度</w:t>
      </w:r>
      <w:r>
        <w:rPr>
          <w:rFonts w:hint="eastAsia"/>
          <w:color w:val="000000"/>
          <w:sz w:val="18"/>
          <w:szCs w:val="18"/>
          <w:lang w:bidi="zh-CN"/>
        </w:rPr>
        <w:t>（30nM）</w:t>
      </w:r>
      <w:r>
        <w:rPr>
          <w:rFonts w:hint="eastAsia"/>
          <w:color w:val="000000"/>
          <w:sz w:val="18"/>
          <w:szCs w:val="18"/>
          <w:lang w:val="zh-CN" w:bidi="zh-CN"/>
        </w:rPr>
        <w:t>的参比染料。</w:t>
      </w:r>
      <w:r>
        <w:rPr>
          <w:rFonts w:hint="eastAsia"/>
          <w:color w:val="000000"/>
          <w:sz w:val="18"/>
          <w:szCs w:val="18"/>
          <w:lang w:bidi="zh-CN"/>
        </w:rPr>
        <w:t xml:space="preserve">ABI </w:t>
      </w:r>
      <w:r>
        <w:rPr>
          <w:rFonts w:hint="eastAsia"/>
          <w:color w:val="000000"/>
          <w:sz w:val="18"/>
          <w:szCs w:val="18"/>
          <w:lang w:val="zh-CN" w:bidi="zh-CN"/>
        </w:rPr>
        <w:t>的</w:t>
      </w:r>
      <w:r>
        <w:rPr>
          <w:rFonts w:hint="eastAsia"/>
          <w:color w:val="000000"/>
          <w:sz w:val="18"/>
          <w:szCs w:val="18"/>
          <w:lang w:bidi="zh-CN"/>
        </w:rPr>
        <w:t xml:space="preserve"> StepOne™ </w:t>
      </w:r>
      <w:r>
        <w:rPr>
          <w:rFonts w:hint="eastAsia"/>
          <w:color w:val="000000"/>
          <w:sz w:val="18"/>
          <w:szCs w:val="18"/>
          <w:lang w:val="zh-CN" w:bidi="zh-CN"/>
        </w:rPr>
        <w:t>、</w:t>
      </w:r>
      <w:r>
        <w:rPr>
          <w:rFonts w:hint="eastAsia"/>
          <w:color w:val="000000"/>
          <w:sz w:val="18"/>
          <w:szCs w:val="18"/>
          <w:lang w:bidi="zh-CN"/>
        </w:rPr>
        <w:t>StepOnePlus™</w:t>
      </w:r>
      <w:r>
        <w:rPr>
          <w:rFonts w:hint="eastAsia"/>
          <w:color w:val="000000"/>
          <w:sz w:val="18"/>
          <w:szCs w:val="18"/>
          <w:lang w:val="zh-CN" w:bidi="zh-CN"/>
        </w:rPr>
        <w:t>、</w:t>
      </w:r>
      <w:r>
        <w:rPr>
          <w:rFonts w:hint="eastAsia"/>
          <w:color w:val="000000"/>
          <w:sz w:val="18"/>
          <w:szCs w:val="18"/>
          <w:lang w:bidi="zh-CN"/>
        </w:rPr>
        <w:t xml:space="preserve">7300 </w:t>
      </w:r>
      <w:r>
        <w:rPr>
          <w:rFonts w:hint="eastAsia"/>
          <w:color w:val="000000"/>
          <w:sz w:val="18"/>
          <w:szCs w:val="18"/>
          <w:lang w:val="zh-CN" w:bidi="zh-CN"/>
        </w:rPr>
        <w:t>、</w:t>
      </w:r>
      <w:r>
        <w:rPr>
          <w:rFonts w:hint="eastAsia"/>
          <w:color w:val="000000"/>
          <w:sz w:val="18"/>
          <w:szCs w:val="18"/>
          <w:lang w:bidi="zh-CN"/>
        </w:rPr>
        <w:t xml:space="preserve">7900HT </w:t>
      </w:r>
      <w:r>
        <w:rPr>
          <w:rFonts w:hint="eastAsia"/>
          <w:color w:val="000000"/>
          <w:sz w:val="18"/>
          <w:szCs w:val="18"/>
          <w:lang w:val="zh-CN" w:bidi="zh-CN"/>
        </w:rPr>
        <w:t>等仪器需要加入较高浓度</w:t>
      </w:r>
      <w:r>
        <w:rPr>
          <w:rFonts w:hint="eastAsia"/>
          <w:color w:val="000000"/>
          <w:sz w:val="18"/>
          <w:szCs w:val="18"/>
          <w:lang w:bidi="zh-CN"/>
        </w:rPr>
        <w:t>（500nM）</w:t>
      </w:r>
      <w:r>
        <w:rPr>
          <w:rFonts w:hint="eastAsia"/>
          <w:color w:val="000000"/>
          <w:sz w:val="18"/>
          <w:szCs w:val="18"/>
          <w:lang w:val="zh-CN" w:bidi="zh-CN"/>
        </w:rPr>
        <w:t>的参比染料。</w:t>
      </w:r>
    </w:p>
    <w:p w14:paraId="1CA2B356">
      <w:pPr>
        <w:pStyle w:val="68"/>
        <w:spacing w:line="240" w:lineRule="auto"/>
        <w:ind w:firstLine="288" w:firstLineChars="160"/>
        <w:rPr>
          <w:color w:val="000000"/>
          <w:sz w:val="18"/>
          <w:szCs w:val="18"/>
          <w:lang w:val="zh-CN" w:bidi="zh-CN"/>
        </w:rPr>
      </w:pPr>
    </w:p>
    <w:p w14:paraId="0890805A">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8.</w:t>
      </w:r>
      <w:r>
        <w:rPr>
          <w:rFonts w:hint="eastAsia" w:cs="Times New Roman"/>
          <w:color w:val="000000"/>
          <w:sz w:val="21"/>
          <w:lang w:val="en-US" w:eastAsia="zh-CN"/>
        </w:rPr>
        <w:t>2</w:t>
      </w:r>
      <w:r>
        <w:rPr>
          <w:rFonts w:hint="default" w:ascii="Times New Roman" w:hAnsi="Times New Roman" w:eastAsia="宋体" w:cs="Times New Roman"/>
          <w:color w:val="000000"/>
          <w:sz w:val="21"/>
          <w:lang w:eastAsia="zh-CN"/>
        </w:rPr>
        <w:t>.2</w:t>
      </w:r>
      <w:r>
        <w:rPr>
          <w:rFonts w:hint="default" w:ascii="Times New Roman" w:hAnsi="Times New Roman" w:eastAsia="宋体" w:cs="Times New Roman"/>
          <w:color w:val="000000"/>
          <w:sz w:val="21"/>
          <w:lang w:val="en-US" w:eastAsia="zh-CN"/>
        </w:rPr>
        <w:t xml:space="preserve"> </w:t>
      </w:r>
      <w:r>
        <w:rPr>
          <w:rFonts w:hint="default" w:ascii="Times New Roman" w:hAnsi="Times New Roman" w:eastAsia="宋体" w:cs="Times New Roman"/>
          <w:color w:val="000000"/>
          <w:sz w:val="21"/>
          <w:lang w:eastAsia="zh-CN"/>
        </w:rPr>
        <w:t>实时荧光PCR反应参数</w:t>
      </w:r>
    </w:p>
    <w:p w14:paraId="2A98BD23">
      <w:pPr>
        <w:spacing w:line="360" w:lineRule="auto"/>
        <w:ind w:firstLine="435"/>
        <w:rPr>
          <w:color w:val="000000"/>
          <w:sz w:val="21"/>
          <w:lang w:eastAsia="zh-CN"/>
        </w:rPr>
      </w:pPr>
      <w:r>
        <w:rPr>
          <w:rFonts w:hint="eastAsia"/>
          <w:color w:val="000000"/>
          <w:sz w:val="21"/>
          <w:lang w:eastAsia="zh-CN"/>
        </w:rPr>
        <w:t>实时荧光</w:t>
      </w:r>
      <w:r>
        <w:rPr>
          <w:color w:val="000000"/>
          <w:sz w:val="21"/>
          <w:lang w:eastAsia="zh-CN"/>
        </w:rPr>
        <w:t>PCR</w:t>
      </w:r>
      <w:r>
        <w:rPr>
          <w:rFonts w:hint="eastAsia"/>
          <w:color w:val="000000"/>
          <w:sz w:val="21"/>
          <w:lang w:eastAsia="zh-CN"/>
        </w:rPr>
        <w:t>反应参数见表3，试验检测结束后，根据收集的荧光曲线和</w:t>
      </w:r>
      <w:r>
        <w:rPr>
          <w:color w:val="000000"/>
          <w:sz w:val="21"/>
          <w:lang w:eastAsia="zh-CN"/>
        </w:rPr>
        <w:t>Ct</w:t>
      </w:r>
      <w:r>
        <w:rPr>
          <w:rFonts w:hint="eastAsia"/>
          <w:color w:val="000000"/>
          <w:sz w:val="21"/>
          <w:lang w:eastAsia="zh-CN"/>
        </w:rPr>
        <w:t>值判定结果。</w:t>
      </w:r>
    </w:p>
    <w:p w14:paraId="3508030E">
      <w:pPr>
        <w:spacing w:line="360" w:lineRule="auto"/>
        <w:ind w:firstLine="435"/>
        <w:jc w:val="cente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eastAsia="zh-CN"/>
        </w:rPr>
        <w:t xml:space="preserve">表3  </w:t>
      </w:r>
      <w:r>
        <w:rPr>
          <w:rFonts w:hint="eastAsia" w:asciiTheme="minorEastAsia" w:hAnsiTheme="minorEastAsia" w:eastAsiaTheme="minorEastAsia"/>
          <w:color w:val="000000"/>
          <w:sz w:val="18"/>
          <w:szCs w:val="18"/>
          <w:lang w:val="zh-CN" w:eastAsia="zh-CN" w:bidi="zh-CN"/>
        </w:rPr>
        <w:t>实时荧光</w:t>
      </w:r>
      <w:r>
        <w:rPr>
          <w:rFonts w:asciiTheme="minorEastAsia" w:hAnsiTheme="minorEastAsia" w:eastAsiaTheme="minorEastAsia"/>
          <w:b/>
          <w:bCs/>
          <w:color w:val="000000"/>
          <w:sz w:val="18"/>
          <w:szCs w:val="18"/>
          <w:lang w:eastAsia="zh-CN"/>
        </w:rPr>
        <w:t>PCR</w:t>
      </w:r>
      <w:r>
        <w:rPr>
          <w:rFonts w:hint="eastAsia" w:asciiTheme="minorEastAsia" w:hAnsiTheme="minorEastAsia" w:eastAsiaTheme="minorEastAsia"/>
          <w:color w:val="000000"/>
          <w:sz w:val="18"/>
          <w:szCs w:val="18"/>
          <w:lang w:val="zh-CN" w:eastAsia="zh-CN" w:bidi="zh-CN"/>
        </w:rPr>
        <w:t>反应参数</w:t>
      </w:r>
    </w:p>
    <w:tbl>
      <w:tblPr>
        <w:tblStyle w:val="22"/>
        <w:tblW w:w="0" w:type="auto"/>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705"/>
        <w:gridCol w:w="1705"/>
        <w:gridCol w:w="1706"/>
        <w:gridCol w:w="1706"/>
        <w:gridCol w:w="1706"/>
      </w:tblGrid>
      <w:tr w14:paraId="16A541B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705" w:type="dxa"/>
            <w:tcBorders>
              <w:bottom w:val="single" w:color="auto" w:sz="4" w:space="0"/>
            </w:tcBorders>
            <w:vAlign w:val="center"/>
          </w:tcPr>
          <w:p w14:paraId="4EDA0AE8">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val="zh-CN" w:bidi="zh-CN"/>
              </w:rPr>
              <w:t>步骤</w:t>
            </w:r>
          </w:p>
        </w:tc>
        <w:tc>
          <w:tcPr>
            <w:tcW w:w="1705" w:type="dxa"/>
            <w:tcBorders>
              <w:bottom w:val="single" w:color="auto" w:sz="4" w:space="0"/>
            </w:tcBorders>
            <w:vAlign w:val="center"/>
          </w:tcPr>
          <w:p w14:paraId="1DE142E5">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温度</w:t>
            </w:r>
          </w:p>
        </w:tc>
        <w:tc>
          <w:tcPr>
            <w:tcW w:w="1706" w:type="dxa"/>
            <w:tcBorders>
              <w:bottom w:val="single" w:color="auto" w:sz="4" w:space="0"/>
            </w:tcBorders>
            <w:vAlign w:val="center"/>
          </w:tcPr>
          <w:p w14:paraId="65D01226">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时间</w:t>
            </w:r>
          </w:p>
        </w:tc>
        <w:tc>
          <w:tcPr>
            <w:tcW w:w="1706" w:type="dxa"/>
            <w:tcBorders>
              <w:bottom w:val="single" w:color="auto" w:sz="4" w:space="0"/>
            </w:tcBorders>
            <w:vAlign w:val="center"/>
          </w:tcPr>
          <w:p w14:paraId="7A55162A">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循环数</w:t>
            </w:r>
          </w:p>
        </w:tc>
        <w:tc>
          <w:tcPr>
            <w:tcW w:w="1706" w:type="dxa"/>
            <w:tcBorders>
              <w:bottom w:val="single" w:color="auto" w:sz="4" w:space="0"/>
            </w:tcBorders>
            <w:vAlign w:val="center"/>
          </w:tcPr>
          <w:p w14:paraId="2D404BB6">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采集荧光信号</w:t>
            </w:r>
          </w:p>
        </w:tc>
      </w:tr>
      <w:tr w14:paraId="4ECCA1E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705" w:type="dxa"/>
            <w:tcBorders>
              <w:bottom w:val="nil"/>
            </w:tcBorders>
            <w:vAlign w:val="center"/>
          </w:tcPr>
          <w:p w14:paraId="5CD7A11D">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val="zh-CN" w:bidi="zh-CN"/>
              </w:rPr>
              <w:t>预变性</w:t>
            </w:r>
          </w:p>
        </w:tc>
        <w:tc>
          <w:tcPr>
            <w:tcW w:w="1705" w:type="dxa"/>
            <w:tcBorders>
              <w:bottom w:val="nil"/>
            </w:tcBorders>
          </w:tcPr>
          <w:p w14:paraId="574CAAE1">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95℃</w:t>
            </w:r>
          </w:p>
        </w:tc>
        <w:tc>
          <w:tcPr>
            <w:tcW w:w="1706" w:type="dxa"/>
            <w:tcBorders>
              <w:bottom w:val="nil"/>
            </w:tcBorders>
          </w:tcPr>
          <w:p w14:paraId="33444F4F">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10min</w:t>
            </w:r>
          </w:p>
        </w:tc>
        <w:tc>
          <w:tcPr>
            <w:tcW w:w="1706" w:type="dxa"/>
            <w:tcBorders>
              <w:bottom w:val="nil"/>
            </w:tcBorders>
          </w:tcPr>
          <w:p w14:paraId="5EA34DCF">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1</w:t>
            </w:r>
          </w:p>
        </w:tc>
        <w:tc>
          <w:tcPr>
            <w:tcW w:w="1706" w:type="dxa"/>
            <w:tcBorders>
              <w:bottom w:val="nil"/>
            </w:tcBorders>
          </w:tcPr>
          <w:p w14:paraId="39ECDC4F">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否</w:t>
            </w:r>
          </w:p>
        </w:tc>
      </w:tr>
      <w:tr w14:paraId="06867CD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705" w:type="dxa"/>
            <w:tcBorders>
              <w:top w:val="nil"/>
              <w:bottom w:val="nil"/>
            </w:tcBorders>
            <w:vAlign w:val="center"/>
          </w:tcPr>
          <w:p w14:paraId="1B6D227F">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val="zh-CN" w:bidi="zh-CN"/>
              </w:rPr>
              <w:t>变性</w:t>
            </w:r>
          </w:p>
        </w:tc>
        <w:tc>
          <w:tcPr>
            <w:tcW w:w="1705" w:type="dxa"/>
            <w:tcBorders>
              <w:top w:val="nil"/>
              <w:bottom w:val="nil"/>
            </w:tcBorders>
          </w:tcPr>
          <w:p w14:paraId="44D11F5A">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95℃</w:t>
            </w:r>
          </w:p>
        </w:tc>
        <w:tc>
          <w:tcPr>
            <w:tcW w:w="1706" w:type="dxa"/>
            <w:tcBorders>
              <w:top w:val="nil"/>
              <w:bottom w:val="nil"/>
            </w:tcBorders>
          </w:tcPr>
          <w:p w14:paraId="25ACA8E6">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15s</w:t>
            </w:r>
          </w:p>
        </w:tc>
        <w:tc>
          <w:tcPr>
            <w:tcW w:w="1706" w:type="dxa"/>
            <w:tcBorders>
              <w:top w:val="nil"/>
              <w:bottom w:val="nil"/>
            </w:tcBorders>
          </w:tcPr>
          <w:p w14:paraId="6BD833ED">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40</w:t>
            </w:r>
          </w:p>
        </w:tc>
        <w:tc>
          <w:tcPr>
            <w:tcW w:w="1706" w:type="dxa"/>
            <w:tcBorders>
              <w:top w:val="nil"/>
              <w:bottom w:val="nil"/>
            </w:tcBorders>
          </w:tcPr>
          <w:p w14:paraId="604D0A06">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否</w:t>
            </w:r>
          </w:p>
        </w:tc>
      </w:tr>
      <w:tr w14:paraId="0980B23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705" w:type="dxa"/>
            <w:tcBorders>
              <w:top w:val="nil"/>
            </w:tcBorders>
            <w:vAlign w:val="bottom"/>
          </w:tcPr>
          <w:p w14:paraId="70703D30">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val="zh-CN" w:bidi="zh-CN"/>
              </w:rPr>
              <w:t>退火，延伸</w:t>
            </w:r>
          </w:p>
        </w:tc>
        <w:tc>
          <w:tcPr>
            <w:tcW w:w="1705" w:type="dxa"/>
            <w:tcBorders>
              <w:top w:val="nil"/>
            </w:tcBorders>
          </w:tcPr>
          <w:p w14:paraId="1CE848A9">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60℃</w:t>
            </w:r>
          </w:p>
        </w:tc>
        <w:tc>
          <w:tcPr>
            <w:tcW w:w="1706" w:type="dxa"/>
            <w:tcBorders>
              <w:top w:val="nil"/>
            </w:tcBorders>
          </w:tcPr>
          <w:p w14:paraId="1638365E">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1min</w:t>
            </w:r>
          </w:p>
        </w:tc>
        <w:tc>
          <w:tcPr>
            <w:tcW w:w="1706" w:type="dxa"/>
            <w:tcBorders>
              <w:top w:val="nil"/>
            </w:tcBorders>
          </w:tcPr>
          <w:p w14:paraId="058A65C1">
            <w:pPr>
              <w:spacing w:line="360" w:lineRule="auto"/>
              <w:jc w:val="center"/>
              <w:rPr>
                <w:rFonts w:asciiTheme="minorEastAsia" w:hAnsiTheme="minorEastAsia" w:eastAsiaTheme="minorEastAsia"/>
                <w:color w:val="000000"/>
                <w:sz w:val="18"/>
                <w:szCs w:val="18"/>
                <w:lang w:eastAsia="zh-CN"/>
              </w:rPr>
            </w:pPr>
          </w:p>
        </w:tc>
        <w:tc>
          <w:tcPr>
            <w:tcW w:w="1706" w:type="dxa"/>
            <w:tcBorders>
              <w:top w:val="nil"/>
            </w:tcBorders>
          </w:tcPr>
          <w:p w14:paraId="296E5A08">
            <w:pPr>
              <w:spacing w:line="360" w:lineRule="auto"/>
              <w:jc w:val="center"/>
              <w:rPr>
                <w:rFonts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lang w:eastAsia="zh-CN"/>
              </w:rPr>
              <w:t>是</w:t>
            </w:r>
          </w:p>
        </w:tc>
      </w:tr>
    </w:tbl>
    <w:p w14:paraId="522C587D">
      <w:pPr>
        <w:rPr>
          <w:rFonts w:asciiTheme="minorEastAsia" w:hAnsiTheme="minorEastAsia" w:eastAsiaTheme="minorEastAsia"/>
          <w:color w:val="000000"/>
          <w:sz w:val="18"/>
          <w:szCs w:val="18"/>
          <w:lang w:val="zh-CN" w:eastAsia="zh-CN" w:bidi="zh-CN"/>
        </w:rPr>
      </w:pPr>
      <w:r>
        <w:rPr>
          <w:rFonts w:hint="eastAsia" w:asciiTheme="minorEastAsia" w:hAnsiTheme="minorEastAsia" w:eastAsiaTheme="minorEastAsia"/>
          <w:color w:val="000000"/>
          <w:sz w:val="18"/>
          <w:szCs w:val="18"/>
          <w:lang w:eastAsia="zh-CN"/>
        </w:rPr>
        <w:t>注：</w:t>
      </w:r>
      <w:r>
        <w:rPr>
          <w:rFonts w:hint="eastAsia" w:asciiTheme="minorEastAsia" w:hAnsiTheme="minorEastAsia" w:eastAsiaTheme="minorEastAsia"/>
          <w:color w:val="000000"/>
          <w:sz w:val="18"/>
          <w:szCs w:val="18"/>
          <w:lang w:val="zh-CN" w:eastAsia="zh-CN" w:bidi="zh-CN"/>
        </w:rPr>
        <w:t>可使用其他等效的实时荧光</w:t>
      </w:r>
      <w:r>
        <w:rPr>
          <w:rFonts w:asciiTheme="minorEastAsia" w:hAnsiTheme="minorEastAsia" w:eastAsiaTheme="minorEastAsia"/>
          <w:color w:val="000000"/>
          <w:sz w:val="18"/>
          <w:szCs w:val="18"/>
          <w:lang w:eastAsia="zh-CN"/>
        </w:rPr>
        <w:t>PCR</w:t>
      </w:r>
      <w:r>
        <w:rPr>
          <w:rFonts w:hint="eastAsia" w:asciiTheme="minorEastAsia" w:hAnsiTheme="minorEastAsia" w:eastAsiaTheme="minorEastAsia"/>
          <w:color w:val="000000"/>
          <w:sz w:val="18"/>
          <w:szCs w:val="18"/>
          <w:lang w:val="zh-CN" w:eastAsia="zh-CN" w:bidi="zh-CN"/>
        </w:rPr>
        <w:t>检测试剂盒进行，反应体系和反应参数可进行相应调整。</w:t>
      </w:r>
    </w:p>
    <w:p w14:paraId="0289CF5A">
      <w:pPr>
        <w:ind w:firstLine="437"/>
        <w:rPr>
          <w:rFonts w:asciiTheme="minorEastAsia" w:hAnsiTheme="minorEastAsia" w:eastAsiaTheme="minorEastAsia"/>
          <w:color w:val="000000"/>
          <w:sz w:val="18"/>
          <w:szCs w:val="18"/>
          <w:lang w:eastAsia="zh-CN"/>
        </w:rPr>
      </w:pPr>
    </w:p>
    <w:p w14:paraId="2C03D03C">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结果判定</w:t>
      </w:r>
    </w:p>
    <w:p w14:paraId="29585DB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9.1</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结果分析条件设定</w:t>
      </w:r>
    </w:p>
    <w:p w14:paraId="3E113AF5">
      <w:pPr>
        <w:spacing w:line="360" w:lineRule="auto"/>
        <w:rPr>
          <w:color w:val="000000"/>
          <w:sz w:val="21"/>
          <w:lang w:eastAsia="zh-CN"/>
        </w:rPr>
      </w:pPr>
      <w:r>
        <w:rPr>
          <w:rFonts w:hint="eastAsia"/>
          <w:color w:val="000000"/>
          <w:sz w:val="21"/>
          <w:lang w:eastAsia="zh-CN"/>
        </w:rPr>
        <w:t xml:space="preserve">    </w:t>
      </w:r>
      <w:r>
        <w:rPr>
          <w:color w:val="000000"/>
          <w:sz w:val="21"/>
          <w:lang w:eastAsia="zh-CN"/>
        </w:rPr>
        <w:t>综合分析仪器给出的各项结果</w:t>
      </w:r>
      <w:r>
        <w:rPr>
          <w:rFonts w:hint="eastAsia"/>
          <w:color w:val="000000"/>
          <w:sz w:val="21"/>
          <w:lang w:eastAsia="zh-CN"/>
        </w:rPr>
        <w:t>，</w:t>
      </w:r>
      <w:r>
        <w:rPr>
          <w:color w:val="000000"/>
          <w:sz w:val="21"/>
          <w:lang w:eastAsia="zh-CN"/>
        </w:rPr>
        <w:t>基线以仪器给出的默认值作为参考</w:t>
      </w:r>
      <w:r>
        <w:rPr>
          <w:rFonts w:hint="eastAsia"/>
          <w:color w:val="000000"/>
          <w:sz w:val="21"/>
          <w:lang w:eastAsia="zh-CN"/>
        </w:rPr>
        <w:t>。</w:t>
      </w:r>
      <w:r>
        <w:rPr>
          <w:color w:val="000000"/>
          <w:sz w:val="21"/>
          <w:lang w:eastAsia="zh-CN"/>
        </w:rPr>
        <w:t>阈值设定原则以阈值线刚好超过正常阴性对照扩增曲线的最高点为准</w:t>
      </w:r>
      <w:r>
        <w:rPr>
          <w:rFonts w:hint="eastAsia"/>
          <w:color w:val="000000"/>
          <w:sz w:val="21"/>
          <w:lang w:eastAsia="zh-CN"/>
        </w:rPr>
        <w:t>，</w:t>
      </w:r>
      <w:r>
        <w:rPr>
          <w:color w:val="000000"/>
          <w:sz w:val="21"/>
          <w:lang w:eastAsia="zh-CN"/>
        </w:rPr>
        <w:t>具体根据仪器噪音情况进行调整</w:t>
      </w:r>
      <w:r>
        <w:rPr>
          <w:rFonts w:hint="eastAsia"/>
          <w:color w:val="000000"/>
          <w:sz w:val="21"/>
          <w:lang w:eastAsia="zh-CN"/>
        </w:rPr>
        <w:t>。</w:t>
      </w:r>
      <w:r>
        <w:rPr>
          <w:color w:val="000000"/>
          <w:sz w:val="21"/>
          <w:lang w:eastAsia="zh-CN"/>
        </w:rPr>
        <w:t>选择FAM通道进行</w:t>
      </w:r>
      <w:bookmarkStart w:id="0" w:name="_GoBack"/>
      <w:bookmarkEnd w:id="0"/>
      <w:r>
        <w:rPr>
          <w:color w:val="000000"/>
          <w:sz w:val="21"/>
          <w:lang w:eastAsia="zh-CN"/>
        </w:rPr>
        <w:t>分析。</w:t>
      </w:r>
    </w:p>
    <w:p w14:paraId="360FA94A">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9.2</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质控标准</w:t>
      </w:r>
    </w:p>
    <w:p w14:paraId="11DE3F06">
      <w:pPr>
        <w:spacing w:line="360" w:lineRule="auto"/>
        <w:rPr>
          <w:color w:val="000000"/>
          <w:sz w:val="21"/>
          <w:lang w:eastAsia="zh-CN"/>
        </w:rPr>
      </w:pPr>
      <w:r>
        <w:rPr>
          <w:rFonts w:hint="eastAsia"/>
          <w:color w:val="000000"/>
          <w:sz w:val="21"/>
          <w:lang w:eastAsia="zh-CN"/>
        </w:rPr>
        <w:t xml:space="preserve">    </w:t>
      </w:r>
      <w:r>
        <w:rPr>
          <w:color w:val="000000"/>
          <w:sz w:val="21"/>
          <w:lang w:eastAsia="zh-CN"/>
        </w:rPr>
        <w:t>阳性对照样品有对数扩增曲线</w:t>
      </w:r>
      <w:r>
        <w:rPr>
          <w:rFonts w:hint="eastAsia"/>
          <w:color w:val="000000"/>
          <w:sz w:val="21"/>
          <w:lang w:eastAsia="zh-CN"/>
        </w:rPr>
        <w:t>，</w:t>
      </w:r>
      <w:r>
        <w:rPr>
          <w:color w:val="000000"/>
          <w:sz w:val="21"/>
          <w:lang w:eastAsia="zh-CN"/>
        </w:rPr>
        <w:t>而且</w:t>
      </w:r>
      <w:r>
        <w:rPr>
          <w:rFonts w:hint="eastAsia"/>
          <w:color w:val="000000"/>
          <w:sz w:val="21"/>
          <w:lang w:eastAsia="zh-CN"/>
        </w:rPr>
        <w:t>Ct值＜30</w:t>
      </w:r>
      <w:r>
        <w:rPr>
          <w:color w:val="000000"/>
          <w:sz w:val="21"/>
          <w:lang w:eastAsia="zh-CN"/>
        </w:rPr>
        <w:t>。</w:t>
      </w:r>
    </w:p>
    <w:p w14:paraId="16247311">
      <w:pPr>
        <w:spacing w:line="360" w:lineRule="auto"/>
        <w:rPr>
          <w:color w:val="000000"/>
          <w:sz w:val="21"/>
          <w:lang w:eastAsia="zh-CN"/>
        </w:rPr>
      </w:pPr>
      <w:r>
        <w:rPr>
          <w:rFonts w:hint="eastAsia"/>
          <w:color w:val="000000"/>
          <w:sz w:val="21"/>
          <w:lang w:eastAsia="zh-CN"/>
        </w:rPr>
        <w:t xml:space="preserve">    </w:t>
      </w:r>
      <w:r>
        <w:rPr>
          <w:color w:val="000000"/>
          <w:sz w:val="21"/>
          <w:lang w:eastAsia="zh-CN"/>
        </w:rPr>
        <w:t>阴性对照和空白对照无Ct值并且无扩增曲线</w:t>
      </w:r>
      <w:r>
        <w:rPr>
          <w:rFonts w:hint="eastAsia"/>
          <w:color w:val="000000"/>
          <w:sz w:val="21"/>
          <w:lang w:eastAsia="zh-CN"/>
        </w:rPr>
        <w:t>。</w:t>
      </w:r>
    </w:p>
    <w:p w14:paraId="0F5F1B43">
      <w:pPr>
        <w:spacing w:line="360" w:lineRule="auto"/>
        <w:rPr>
          <w:color w:val="000000"/>
          <w:sz w:val="21"/>
          <w:lang w:eastAsia="zh-CN"/>
        </w:rPr>
      </w:pPr>
      <w:r>
        <w:rPr>
          <w:rFonts w:hint="eastAsia"/>
          <w:color w:val="000000"/>
          <w:sz w:val="21"/>
          <w:lang w:eastAsia="zh-CN"/>
        </w:rPr>
        <w:t xml:space="preserve">    </w:t>
      </w:r>
      <w:r>
        <w:rPr>
          <w:color w:val="000000"/>
          <w:sz w:val="21"/>
          <w:lang w:eastAsia="zh-CN"/>
        </w:rPr>
        <w:t>二者均成立才可判定试验成立。</w:t>
      </w:r>
    </w:p>
    <w:p w14:paraId="4EA582C6">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9.3</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结果描述及判定</w:t>
      </w:r>
    </w:p>
    <w:p w14:paraId="57BD4883">
      <w:pPr>
        <w:spacing w:line="360" w:lineRule="auto"/>
        <w:rPr>
          <w:rFonts w:eastAsiaTheme="minorEastAsia"/>
          <w:lang w:eastAsia="zh-CN"/>
        </w:rPr>
      </w:pPr>
      <w:r>
        <w:rPr>
          <w:rFonts w:hint="eastAsia"/>
          <w:color w:val="000000"/>
          <w:sz w:val="21"/>
          <w:lang w:eastAsia="zh-CN"/>
        </w:rPr>
        <w:t xml:space="preserve">    被检样品Ct值≤35，且出现典型扩增曲线，判为小鼠细小病毒MVM株和MPV株阳性；35＜Ct值≤40且出现典型扩增曲线，判为可疑，需复检，复检仍出现35＜Ct值≤40，并且曲线有明显的对数增长期，判为阳性；否则判为阴性。无Ct值或Ct值＞40且无特征性扩增曲线，判为阴性。</w:t>
      </w:r>
    </w:p>
    <w:p w14:paraId="1393A0E2">
      <w:pPr>
        <w:spacing w:line="360" w:lineRule="auto"/>
        <w:ind w:firstLine="420" w:firstLineChars="200"/>
        <w:jc w:val="center"/>
        <w:rPr>
          <w:rFonts w:ascii="黑体" w:hAnsi="黑体" w:eastAsia="黑体" w:cs="黑体"/>
          <w:color w:val="000000"/>
          <w:szCs w:val="32"/>
          <w:lang w:eastAsia="zh-CN"/>
        </w:rPr>
      </w:pPr>
      <w:r>
        <w:rPr>
          <w:rFonts w:hint="eastAsia" w:ascii="宋体" w:hAnsi="宋体"/>
          <w:b/>
          <w:bCs/>
          <w:color w:val="000000"/>
          <w:sz w:val="21"/>
          <w:lang w:eastAsia="zh-CN"/>
        </w:rPr>
        <w:br w:type="page"/>
      </w:r>
      <w:r>
        <w:rPr>
          <w:rFonts w:hint="eastAsia" w:ascii="黑体" w:hAnsi="黑体" w:eastAsia="黑体"/>
          <w:b/>
          <w:bCs/>
          <w:color w:val="000000"/>
          <w:sz w:val="21"/>
          <w:lang w:eastAsia="zh-CN"/>
        </w:rPr>
        <w:t xml:space="preserve">  </w:t>
      </w:r>
      <w:r>
        <w:rPr>
          <w:rFonts w:hint="eastAsia" w:ascii="黑体" w:hAnsi="黑体" w:eastAsia="黑体" w:cs="黑体"/>
          <w:color w:val="000000"/>
          <w:szCs w:val="32"/>
          <w:lang w:eastAsia="zh-CN"/>
        </w:rPr>
        <w:t xml:space="preserve">附录A </w:t>
      </w:r>
    </w:p>
    <w:p w14:paraId="218FC908">
      <w:pPr>
        <w:spacing w:line="360" w:lineRule="auto"/>
        <w:ind w:firstLine="480" w:firstLineChars="200"/>
        <w:jc w:val="center"/>
        <w:rPr>
          <w:rFonts w:ascii="黑体" w:hAnsi="黑体" w:eastAsia="黑体" w:cs="黑体"/>
          <w:color w:val="000000"/>
          <w:szCs w:val="32"/>
          <w:lang w:eastAsia="zh-CN"/>
        </w:rPr>
      </w:pPr>
      <w:r>
        <w:rPr>
          <w:rFonts w:hint="eastAsia" w:ascii="黑体" w:hAnsi="黑体" w:eastAsia="黑体" w:cs="黑体"/>
          <w:color w:val="000000"/>
          <w:szCs w:val="32"/>
          <w:lang w:eastAsia="zh-CN"/>
        </w:rPr>
        <w:t>（规范性附录）</w:t>
      </w:r>
    </w:p>
    <w:p w14:paraId="242003F6">
      <w:pPr>
        <w:spacing w:line="360" w:lineRule="auto"/>
        <w:ind w:firstLine="640" w:firstLineChars="200"/>
        <w:jc w:val="center"/>
        <w:rPr>
          <w:rFonts w:ascii="黑体" w:hAnsi="黑体" w:eastAsia="黑体" w:cs="黑体"/>
          <w:color w:val="000000"/>
          <w:sz w:val="32"/>
          <w:szCs w:val="40"/>
          <w:lang w:eastAsia="zh-CN"/>
        </w:rPr>
      </w:pPr>
      <w:r>
        <w:rPr>
          <w:rFonts w:hint="eastAsia" w:ascii="黑体" w:hAnsi="黑体" w:eastAsia="黑体" w:cs="黑体"/>
          <w:color w:val="000000"/>
          <w:sz w:val="32"/>
          <w:szCs w:val="40"/>
          <w:lang w:eastAsia="zh-CN"/>
        </w:rPr>
        <w:t>小鼠细小病毒MVM株和MPV株实时荧光PCR检测方法</w:t>
      </w:r>
    </w:p>
    <w:p w14:paraId="7B44B5DA">
      <w:pPr>
        <w:spacing w:line="360" w:lineRule="auto"/>
        <w:ind w:firstLine="640" w:firstLineChars="200"/>
        <w:jc w:val="center"/>
        <w:rPr>
          <w:rFonts w:ascii="黑体" w:hAnsi="黑体" w:eastAsia="黑体" w:cs="黑体"/>
          <w:color w:val="000000"/>
          <w:sz w:val="32"/>
          <w:szCs w:val="40"/>
          <w:lang w:eastAsia="zh-CN"/>
        </w:rPr>
      </w:pPr>
      <w:r>
        <w:rPr>
          <w:rFonts w:hint="eastAsia" w:ascii="黑体" w:hAnsi="黑体" w:eastAsia="黑体" w:cs="黑体"/>
          <w:color w:val="000000"/>
          <w:sz w:val="32"/>
          <w:szCs w:val="40"/>
          <w:lang w:eastAsia="zh-CN"/>
        </w:rPr>
        <w:t>阳性质粒参考序列</w:t>
      </w:r>
    </w:p>
    <w:p w14:paraId="160162F6">
      <w:pPr>
        <w:spacing w:line="360" w:lineRule="auto"/>
        <w:ind w:firstLine="840" w:firstLineChars="400"/>
        <w:rPr>
          <w:rFonts w:ascii="宋体" w:hAnsi="宋体"/>
          <w:color w:val="000000"/>
          <w:sz w:val="21"/>
          <w:lang w:eastAsia="zh-CN"/>
        </w:rPr>
      </w:pPr>
      <w:r>
        <w:rPr>
          <w:rFonts w:ascii="宋体" w:hAnsi="宋体"/>
          <w:color w:val="000000"/>
          <w:sz w:val="21"/>
          <w:lang w:eastAsia="zh-CN"/>
        </w:rPr>
        <w:t>cgacaccgaa aagtacgcct ctcagccaga</w:t>
      </w:r>
      <w:r>
        <w:rPr>
          <w:rFonts w:hint="eastAsia" w:ascii="宋体" w:hAnsi="宋体"/>
          <w:color w:val="000000"/>
          <w:sz w:val="21"/>
          <w:lang w:eastAsia="zh-CN"/>
        </w:rPr>
        <w:t xml:space="preserve"> </w:t>
      </w:r>
      <w:r>
        <w:rPr>
          <w:rFonts w:ascii="宋体" w:hAnsi="宋体"/>
          <w:color w:val="000000"/>
          <w:sz w:val="21"/>
          <w:lang w:eastAsia="zh-CN"/>
        </w:rPr>
        <w:t>actatgcact aactccactt</w:t>
      </w:r>
    </w:p>
    <w:p w14:paraId="4E3E2719">
      <w:pPr>
        <w:spacing w:line="360" w:lineRule="auto"/>
        <w:ind w:firstLine="840" w:firstLineChars="400"/>
        <w:rPr>
          <w:rFonts w:ascii="宋体" w:hAnsi="宋体"/>
          <w:color w:val="000000"/>
          <w:sz w:val="21"/>
          <w:lang w:eastAsia="zh-CN"/>
        </w:rPr>
      </w:pPr>
      <w:r>
        <w:rPr>
          <w:rFonts w:ascii="宋体" w:hAnsi="宋体"/>
          <w:color w:val="000000"/>
          <w:sz w:val="21"/>
          <w:lang w:eastAsia="zh-CN"/>
        </w:rPr>
        <w:t>gcatcggatc tcgaggacct ggctttagag ccttggagca</w:t>
      </w:r>
      <w:r>
        <w:rPr>
          <w:rFonts w:hint="eastAsia" w:ascii="宋体" w:hAnsi="宋体"/>
          <w:color w:val="000000"/>
          <w:sz w:val="21"/>
          <w:lang w:eastAsia="zh-CN"/>
        </w:rPr>
        <w:t xml:space="preserve"> </w:t>
      </w:r>
      <w:r>
        <w:rPr>
          <w:rFonts w:ascii="宋体" w:hAnsi="宋体"/>
          <w:color w:val="000000"/>
          <w:sz w:val="21"/>
          <w:lang w:eastAsia="zh-CN"/>
        </w:rPr>
        <w:t xml:space="preserve">caccaaatac </w:t>
      </w:r>
    </w:p>
    <w:p w14:paraId="416EB89B">
      <w:pPr>
        <w:spacing w:line="360" w:lineRule="auto"/>
        <w:ind w:firstLine="840" w:firstLineChars="400"/>
        <w:rPr>
          <w:rFonts w:ascii="宋体" w:hAnsi="宋体"/>
          <w:color w:val="000000"/>
          <w:sz w:val="21"/>
          <w:lang w:eastAsia="zh-CN"/>
        </w:rPr>
      </w:pPr>
      <w:r>
        <w:rPr>
          <w:rFonts w:ascii="宋体" w:hAnsi="宋体"/>
          <w:color w:val="000000"/>
          <w:sz w:val="21"/>
          <w:lang w:eastAsia="zh-CN"/>
        </w:rPr>
        <w:t>tcctgttgcg ggcactgcag aaacccagaa cactggggaa gctggttcca</w:t>
      </w:r>
    </w:p>
    <w:p w14:paraId="4FACF9EF">
      <w:pPr>
        <w:spacing w:line="360" w:lineRule="auto"/>
        <w:ind w:firstLine="840" w:firstLineChars="400"/>
        <w:rPr>
          <w:rFonts w:ascii="宋体" w:hAnsi="宋体"/>
          <w:color w:val="000000"/>
          <w:sz w:val="21"/>
          <w:lang w:eastAsia="zh-CN"/>
        </w:rPr>
      </w:pPr>
      <w:r>
        <w:rPr>
          <w:rFonts w:ascii="宋体" w:hAnsi="宋体"/>
          <w:color w:val="000000"/>
          <w:sz w:val="21"/>
          <w:lang w:eastAsia="zh-CN"/>
        </w:rPr>
        <w:t xml:space="preserve">aagcctgcca agatggtcaa ctgagcccaa cttggtcaga gatcgaggag </w:t>
      </w:r>
    </w:p>
    <w:p w14:paraId="39FD27AE">
      <w:pPr>
        <w:spacing w:line="360" w:lineRule="auto"/>
        <w:ind w:firstLine="840" w:firstLineChars="400"/>
        <w:rPr>
          <w:rFonts w:ascii="黑体" w:hAnsi="黑体" w:eastAsia="黑体" w:cs="黑体"/>
          <w:color w:val="000000"/>
          <w:szCs w:val="32"/>
          <w:lang w:eastAsia="zh-CN"/>
        </w:rPr>
      </w:pPr>
      <w:r>
        <w:rPr>
          <w:rFonts w:ascii="宋体" w:hAnsi="宋体"/>
          <w:color w:val="000000"/>
          <w:sz w:val="21"/>
          <w:lang w:eastAsia="zh-CN"/>
        </w:rPr>
        <w:t>gatttgagag</w:t>
      </w:r>
      <w:r>
        <w:rPr>
          <w:rFonts w:hint="eastAsia" w:ascii="宋体" w:hAnsi="宋体"/>
          <w:color w:val="000000"/>
          <w:sz w:val="21"/>
          <w:lang w:eastAsia="zh-CN"/>
        </w:rPr>
        <w:t xml:space="preserve"> </w:t>
      </w:r>
      <w:r>
        <w:rPr>
          <w:rFonts w:ascii="宋体" w:hAnsi="宋体"/>
          <w:color w:val="000000"/>
          <w:sz w:val="21"/>
          <w:lang w:eastAsia="zh-CN"/>
        </w:rPr>
        <w:t>cgtgcttcgg tgcggaaccg</w:t>
      </w:r>
    </w:p>
    <w:p w14:paraId="3FE82098">
      <w:pPr>
        <w:spacing w:line="360" w:lineRule="auto"/>
        <w:ind w:firstLine="420" w:firstLineChars="200"/>
        <w:rPr>
          <w:rFonts w:ascii="宋体" w:hAnsi="宋体"/>
          <w:color w:val="000000"/>
          <w:sz w:val="21"/>
          <w:lang w:eastAsia="zh-CN"/>
        </w:rPr>
      </w:pPr>
    </w:p>
    <w:p w14:paraId="47372DA7">
      <w:pPr>
        <w:spacing w:line="360" w:lineRule="auto"/>
        <w:ind w:firstLine="420" w:firstLineChars="200"/>
        <w:jc w:val="center"/>
        <w:rPr>
          <w:rFonts w:ascii="宋体" w:hAnsi="宋体"/>
          <w:color w:val="000000"/>
          <w:sz w:val="21"/>
          <w:lang w:eastAsia="zh-CN"/>
        </w:rPr>
      </w:pPr>
      <w:r>
        <w:rPr>
          <w:rFonts w:hint="eastAsia" w:ascii="宋体" w:hAnsi="宋体"/>
          <w:b/>
          <w:bCs/>
          <w:color w:val="000000"/>
          <w:sz w:val="21"/>
          <w:lang w:eastAsia="zh-CN"/>
        </w:rPr>
        <w:t>-------------------------</w:t>
      </w:r>
    </w:p>
    <w:sectPr>
      <w:headerReference r:id="rId10" w:type="default"/>
      <w:headerReference r:id="rId11" w:type="even"/>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7C429">
    <w:pPr>
      <w:pStyle w:val="16"/>
      <w:ind w:right="360"/>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2"/>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6C40F3A0">
                          <w:pPr>
                            <w:pStyle w:val="16"/>
                            <w:rPr>
                              <w:rStyle w:val="25"/>
                            </w:rPr>
                          </w:pPr>
                          <w:r>
                            <w:fldChar w:fldCharType="begin"/>
                          </w:r>
                          <w:r>
                            <w:rPr>
                              <w:rStyle w:val="25"/>
                            </w:rPr>
                            <w:instrText xml:space="preserve">PAGE  </w:instrText>
                          </w:r>
                          <w:r>
                            <w:fldChar w:fldCharType="separate"/>
                          </w:r>
                          <w:r>
                            <w:rPr>
                              <w:rStyle w:val="25"/>
                            </w:rPr>
                            <w:t>5</w:t>
                          </w:r>
                          <w:r>
                            <w:fldChar w:fldCharType="end"/>
                          </w:r>
                        </w:p>
                      </w:txbxContent>
                    </wps:txbx>
                    <wps:bodyPr rot="0" vert="horz" wrap="none" lIns="0" tIns="0" rIns="0" bIns="0" anchor="t" anchorCtr="0" upright="1">
                      <a:spAutoFit/>
                    </wps:bodyPr>
                  </wps:wsp>
                </a:graphicData>
              </a:graphic>
            </wp:anchor>
          </w:drawing>
        </mc:Choice>
        <mc:Fallback>
          <w:pict>
            <v:shape id="文本框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2360wQCAAADBAAADgAAAGRycy9lMm9Eb2MueG1srVPNjtMwEL4j8Q6W&#10;7zRphVAVNV0tWxUhLT/SwgM4jtNYxB5r7DYpDwBvwIkLd56rz8HYabrLctkDF2s8Hn/zfZ/Hq6vB&#10;dOyg0GuwJZ/Pcs6UlVBruyv550/bF0vOfBC2Fh1YVfKj8vxq/fzZqneFWkALXa2QEYj1Re9K3obg&#10;iizzslVG+Bk4ZemwATQi0BZ3WY2iJ3TTZYs8f5X1gLVDkMp7ym7GQ35GxKcAQtNoqTYg90bZMKKi&#10;6kQgSb7VzvN1Yts0SoYPTeNVYF3JSWlIKzWhuIprtl6JYofCtVqeKYinUHikyQhtqekFaiOCYHvU&#10;/0AZLRE8NGEmwWSjkOQIqZjnj7y5a4VTSQtZ7d3FdP//YOX7w0dkui75S86sMPTgpx/fTz9/n359&#10;W0R3eucLKrpzVBaG1zDQzCSl3t2C/OKZhZtW2J26RoS+VaImdvN4M3twdcTxEaTq30FNbcQ+QAIa&#10;GjTROjKDETq9zPHyMmoITMaWy8VymdORpLNpE3uIYrru0Ic3CgyLQcmRnj7Bi8OtD2PpVBK7Wdjq&#10;rqO8KDr7V4IwYybRj4xH7mGoBqqOmiqojyQEYZwm+ksUtIBfOetpkkpu6eNw1r21ZEUcuinAKaim&#10;QFhJF0seOBvDmzAO596h3rWEO5l9TXZtdRJyz+HMkmYjWXGe4zh8D/ep6v7vrv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ql5uc8AAAAFAQAADwAAAAAAAAABACAAAAAiAAAAZHJzL2Rvd25yZXYu&#10;eG1sUEsBAhQAFAAAAAgAh07iQNNt+tMEAgAAAwQAAA4AAAAAAAAAAQAgAAAAHgEAAGRycy9lMm9E&#10;b2MueG1sUEsFBgAAAAAGAAYAWQEAAJQFAAAAAA==&#10;">
              <v:fill on="f" focussize="0,0"/>
              <v:stroke on="f"/>
              <v:imagedata o:title=""/>
              <o:lock v:ext="edit" aspectratio="f"/>
              <v:textbox inset="0mm,0mm,0mm,0mm" style="mso-fit-shape-to-text:t;">
                <w:txbxContent>
                  <w:p w14:paraId="6C40F3A0">
                    <w:pPr>
                      <w:pStyle w:val="16"/>
                      <w:rPr>
                        <w:rStyle w:val="25"/>
                      </w:rPr>
                    </w:pPr>
                    <w:r>
                      <w:fldChar w:fldCharType="begin"/>
                    </w:r>
                    <w:r>
                      <w:rPr>
                        <w:rStyle w:val="25"/>
                      </w:rPr>
                      <w:instrText xml:space="preserve">PAGE  </w:instrText>
                    </w:r>
                    <w:r>
                      <w:fldChar w:fldCharType="separate"/>
                    </w:r>
                    <w:r>
                      <w:rPr>
                        <w:rStyle w:val="25"/>
                      </w:rP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F305D">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8C24F">
    <w:pPr>
      <w:pStyle w:val="16"/>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6835" cy="175260"/>
              <wp:effectExtent l="0" t="0" r="0" b="0"/>
              <wp:wrapNone/>
              <wp:docPr id="3" name="文本框3"/>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wps:spPr>
                    <wps:txbx>
                      <w:txbxContent>
                        <w:p w14:paraId="33354ED5">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wps:txbx>
                    <wps:bodyPr rot="0" vert="horz" wrap="none" lIns="0" tIns="0" rIns="0" bIns="0" anchor="t" anchorCtr="0" upright="1">
                      <a:spAutoFit/>
                    </wps:bodyPr>
                  </wps:wsp>
                </a:graphicData>
              </a:graphic>
            </wp:anchor>
          </w:drawing>
        </mc:Choice>
        <mc:Fallback>
          <w:pict>
            <v:shape id="文本框3" o:spid="_x0000_s1026" o:spt="202" type="#_x0000_t202" style="position:absolute;left:0pt;margin-top:0pt;height:13.8pt;width:6.05pt;mso-position-horizontal:center;mso-position-horizontal-relative:margin;mso-wrap-style:none;z-index:251660288;mso-width-relative:page;mso-height-relative:page;" filled="f" stroked="f" coordsize="21600,21600" o:gfxdata="UEsDBAoAAAAAAIdO4kAAAAAAAAAAAAAAAAAEAAAAZHJzL1BLAwQUAAAACACHTuJAWtEccdAAAAAD&#10;AQAADwAAAGRycy9kb3ducmV2LnhtbE2PMWvDMBCF90L/g7hAt0a2hyS4PmcIZOnWtBS6KdbFMpVO&#10;RlIc+99X6dIuB4/3eO+7Zj87KyYKcfCMUK4LEMSd1wP3CB/vx+cdiJgUa2U9E8JCEfbt40Ojau1v&#10;/EbTKfUil3CsFYJJaayljJ0hp+Laj8TZu/jgVMoy9FIHdcvlzsqqKDbSqYHzglEjHQx136erQ9jO&#10;n57GSAf6ukxdMMOys68L4tOqLF5AJJrTXxju+Bkd2sx09lfWUViE/Ej6vXevKkGcEartBmTbyP/s&#10;7Q9QSwMEFAAAAAgAh07iQHwhCk8JAgAAAAQAAA4AAABkcnMvZTJvRG9jLnhtbK1TS27bMBDdF+gd&#10;CO5r+YM4gWA5SGO4KJB+gLQHoCnKIipyiCFtyT1Ae4Ouusm+5/I5OqQsN003WXRDDMnhm/feDBfX&#10;nWnYXqHXYAs+GY05U1ZCqe224J8/rV9dceaDsKVowKqCH5Tn18uXLxaty9UUamhKhYxArM9bV/A6&#10;BJdnmZe1MsKPwClLlxWgEYG2uM1KFC2hmyabjsfzrAUsHYJU3tPpqr/kJ0R8DiBUlZZqBXJnlA09&#10;KqpGBJLka+08Xya2VaVk+FBVXgXWFJyUhrRSEYo3cc2WC5FvUbhayxMF8RwKTzQZoS0VPUOtRBBs&#10;h/ofKKMlgocqjCSYrBeSHCEVk/ETb+5r4VTSQlZ7dzbd/z9Y+X7/EZkuCz7jzApDDT/++H78+ev4&#10;8G0W3Wmdzynp3lFa6F5DRzOTlHp3B/KLZxZua2G36gYR2lqJkthN4svs0dMex0eQTfsOSiojdgES&#10;UFehidaRGYzQqTOHc2dUF5ikw8v51eyCM0k3k8uL6Tw1LhP58NahD28UGBaDgiP1PWGL/Z0PkYvI&#10;h5RYysJaN03qfWP/OqDEeJK4R7o98dBtupMXGygPpAKhHyX6SBTUgF85a2mMCm7p13DWvLXkQ5y4&#10;IcAh2AyBsJIeFjxw1oe3oZ/MnUO9rQl3cPqGvFrrJCSa2nM4saTBSPpOQxwn7/E+Zf35uM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WtEccdAAAAADAQAADwAAAAAAAAABACAAAAAiAAAAZHJzL2Rv&#10;d25yZXYueG1sUEsBAhQAFAAAAAgAh07iQHwhCk8JAgAAAAQAAA4AAAAAAAAAAQAgAAAAHwEAAGRy&#10;cy9lMm9Eb2MueG1sUEsFBgAAAAAGAAYAWQEAAJoFAAAAAA==&#10;">
              <v:fill on="f" focussize="0,0"/>
              <v:stroke on="f"/>
              <v:imagedata o:title=""/>
              <o:lock v:ext="edit" aspectratio="f"/>
              <v:textbox inset="0mm,0mm,0mm,0mm" style="mso-fit-shape-to-text:t;">
                <w:txbxContent>
                  <w:p w14:paraId="33354ED5">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ACAA9">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36855">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E3674">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957F0">
    <w:pPr>
      <w:pStyle w:val="17"/>
      <w:pBdr>
        <w:bottom w:val="none" w:color="auto" w:sz="0" w:space="0"/>
      </w:pBdr>
      <w:tabs>
        <w:tab w:val="clear" w:pos="4153"/>
        <w:tab w:val="clear" w:pos="8306"/>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DCD52">
    <w:pPr>
      <w:spacing w:line="1" w:lineRule="exact"/>
    </w:pPr>
    <w:r>
      <w:rPr>
        <w:lang w:eastAsia="zh-CN" w:bidi="ar-SA"/>
      </w:rPr>
      <mc:AlternateContent>
        <mc:Choice Requires="wps">
          <w:drawing>
            <wp:anchor distT="0" distB="0" distL="0" distR="0" simplePos="0" relativeHeight="251661312" behindDoc="1" locked="0" layoutInCell="1" allowOverlap="1">
              <wp:simplePos x="0" y="0"/>
              <wp:positionH relativeFrom="page">
                <wp:posOffset>567055</wp:posOffset>
              </wp:positionH>
              <wp:positionV relativeFrom="page">
                <wp:posOffset>628015</wp:posOffset>
              </wp:positionV>
              <wp:extent cx="2298065" cy="125095"/>
              <wp:effectExtent l="0" t="0" r="0" b="0"/>
              <wp:wrapNone/>
              <wp:docPr id="1" name="Text Box 5"/>
              <wp:cNvGraphicFramePr/>
              <a:graphic xmlns:a="http://schemas.openxmlformats.org/drawingml/2006/main">
                <a:graphicData uri="http://schemas.microsoft.com/office/word/2010/wordprocessingShape">
                  <wps:wsp>
                    <wps:cNvSpPr txBox="1">
                      <a:spLocks noChangeArrowheads="1"/>
                    </wps:cNvSpPr>
                    <wps:spPr bwMode="auto">
                      <a:xfrm>
                        <a:off x="0" y="0"/>
                        <a:ext cx="2298065" cy="125095"/>
                      </a:xfrm>
                      <a:prstGeom prst="rect">
                        <a:avLst/>
                      </a:prstGeom>
                      <a:noFill/>
                      <a:ln>
                        <a:noFill/>
                      </a:ln>
                    </wps:spPr>
                    <wps:txbx>
                      <w:txbxContent>
                        <w:p w14:paraId="4F5EA010">
                          <w:pPr>
                            <w:pStyle w:val="64"/>
                            <w:rPr>
                              <w:sz w:val="18"/>
                              <w:szCs w:val="18"/>
                            </w:rPr>
                          </w:pPr>
                        </w:p>
                      </w:txbxContent>
                    </wps:txbx>
                    <wps:bodyPr rot="0" vert="horz" wrap="none" lIns="0" tIns="0" rIns="0" bIns="0" anchor="t" anchorCtr="0" upright="1">
                      <a:spAutoFit/>
                    </wps:bodyPr>
                  </wps:wsp>
                </a:graphicData>
              </a:graphic>
            </wp:anchor>
          </w:drawing>
        </mc:Choice>
        <mc:Fallback>
          <w:pict>
            <v:shape id="Text Box 5" o:spid="_x0000_s1026" o:spt="202" type="#_x0000_t202" style="position:absolute;left:0pt;margin-left:44.65pt;margin-top:49.45pt;height:9.85pt;width:180.95pt;mso-position-horizontal-relative:page;mso-position-vertical-relative:page;mso-wrap-style:none;z-index:-251655168;mso-width-relative:page;mso-height-relative:page;" filled="f" stroked="f" coordsize="21600,21600" o:gfxdata="UEsDBAoAAAAAAIdO4kAAAAAAAAAAAAAAAAAEAAAAZHJzL1BLAwQUAAAACACHTuJAphkditYAAAAJ&#10;AQAADwAAAGRycy9kb3ducmV2LnhtbE2PMU/DMBCFdyT+g3VIbNRJgeKkcTpUYmGjICQ2N77GUe1z&#10;ZLtp8u8xE4yn9+m975rd7CybMMTBk4RyVQBD6rweqJfw+fH6IIDFpEgr6wklLBhh197eNKrW/krv&#10;OB1Sz3IJxVpJMCmNNeexM+hUXPkRKWcnH5xK+Qw910Fdc7mzfF0UG+7UQHnBqBH3Brvz4eIkvMxf&#10;HseIe/w+TV0wwyLs2yLl/V1ZbIElnNMfDL/6WR3a7HT0F9KRWQmiesykhEpUwHL+9FyugR0zWIoN&#10;8Lbh/z9ofwBQSwMEFAAAAAgAh07iQGemSOD6AQAAAgQAAA4AAABkcnMvZTJvRG9jLnhtbK1Ty27b&#10;MBC8F+g/ELzXkg04SATLQRLDRYH0AST9AIqiLKIil1jSltyv75KS3DS95JALsVwuhzOzy83tYDp2&#10;Uug12JIvFzlnykqotT2U/Ofz/tM1Zz4IW4sOrCr5WXl+u/34YdO7Qq2gha5WyAjE+qJ3JW9DcEWW&#10;edkqI/wCnLJ02AAaEWiLh6xG0RO66bJVnl9lPWDtEKTynrK78ZBPiPgWQGgaLdUO5NEoG0ZUVJ0I&#10;JMm32nm+TWybRsnwvWm8CqwrOSkNaaVHKK7imm03ojigcK2WEwXxFgqvNBmhLT16gdqJINgR9X9Q&#10;RksED01YSDDZKCQ5QiqW+StvnlrhVNJCVnt3Md2/H6z8dvqBTNc0CZxZYajhz2oI7B4Gto7u9M4X&#10;VPTkqCwMlI6VUal3jyB/eWbhoRX2oO4QoW+VqIndMt7MXlwdcXwEqfqvUNMz4hggAQ0NmghIZjBC&#10;p86cL52JVCQlV6ub6/xqzZmks+Vqnd8kcpko5tsOffiswLAYlByp8wldnB59iGxEMZfExyzsddel&#10;7nf2nwQVxkxiHwmP1MNQDZMbFdRn0oEwDhN9JQpawN+c9TRIJbf0bzjrvlhyIs7cHOAcVHMgrKSL&#10;JQ+cjeFDGGfz6FAfWsKdvb4jt/Y6CYm2jhwmljQaSd80xnH2Xu5T1d+vu/0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hkditYAAAAJAQAADwAAAAAAAAABACAAAAAiAAAAZHJzL2Rvd25yZXYueG1s&#10;UEsBAhQAFAAAAAgAh07iQGemSOD6AQAAAgQAAA4AAAAAAAAAAQAgAAAAJQEAAGRycy9lMm9Eb2Mu&#10;eG1sUEsFBgAAAAAGAAYAWQEAAJEFAAAAAA==&#10;">
              <v:fill on="f" focussize="0,0"/>
              <v:stroke on="f"/>
              <v:imagedata o:title=""/>
              <o:lock v:ext="edit" aspectratio="f"/>
              <v:textbox inset="0mm,0mm,0mm,0mm" style="mso-fit-shape-to-text:t;">
                <w:txbxContent>
                  <w:p w14:paraId="4F5EA010">
                    <w:pPr>
                      <w:pStyle w:val="64"/>
                      <w:rPr>
                        <w:sz w:val="18"/>
                        <w:szCs w:val="18"/>
                      </w:rPr>
                    </w:pP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0B18C">
    <w:pPr>
      <w:spacing w:line="1" w:lineRule="exact"/>
    </w:pPr>
    <w:r>
      <w:rPr>
        <w:lang w:eastAsia="zh-CN" w:bidi="ar-SA"/>
      </w:rPr>
      <mc:AlternateContent>
        <mc:Choice Requires="wps">
          <w:drawing>
            <wp:anchor distT="0" distB="0" distL="0" distR="0" simplePos="0" relativeHeight="251662336" behindDoc="1" locked="0" layoutInCell="1" allowOverlap="1">
              <wp:simplePos x="0" y="0"/>
              <wp:positionH relativeFrom="page">
                <wp:posOffset>567055</wp:posOffset>
              </wp:positionH>
              <wp:positionV relativeFrom="page">
                <wp:posOffset>628015</wp:posOffset>
              </wp:positionV>
              <wp:extent cx="2298065" cy="125095"/>
              <wp:effectExtent l="0" t="0" r="0" b="0"/>
              <wp:wrapNone/>
              <wp:docPr id="2" name="Text Box 6"/>
              <wp:cNvGraphicFramePr/>
              <a:graphic xmlns:a="http://schemas.openxmlformats.org/drawingml/2006/main">
                <a:graphicData uri="http://schemas.microsoft.com/office/word/2010/wordprocessingShape">
                  <wps:wsp>
                    <wps:cNvSpPr txBox="1">
                      <a:spLocks noChangeArrowheads="1"/>
                    </wps:cNvSpPr>
                    <wps:spPr bwMode="auto">
                      <a:xfrm>
                        <a:off x="0" y="0"/>
                        <a:ext cx="2298065" cy="125095"/>
                      </a:xfrm>
                      <a:prstGeom prst="rect">
                        <a:avLst/>
                      </a:prstGeom>
                      <a:noFill/>
                      <a:ln>
                        <a:noFill/>
                      </a:ln>
                    </wps:spPr>
                    <wps:txbx>
                      <w:txbxContent>
                        <w:p w14:paraId="61B65D20">
                          <w:pPr>
                            <w:pStyle w:val="64"/>
                            <w:rPr>
                              <w:sz w:val="18"/>
                              <w:szCs w:val="18"/>
                            </w:rPr>
                          </w:pPr>
                          <w:r>
                            <w:fldChar w:fldCharType="begin"/>
                          </w:r>
                          <w:r>
                            <w:instrText xml:space="preserve"> PAGE \* MERGEFORMAT </w:instrText>
                          </w:r>
                          <w:r>
                            <w:fldChar w:fldCharType="separate"/>
                          </w:r>
                          <w:r>
                            <w:rPr>
                              <w:b/>
                              <w:bCs/>
                            </w:rPr>
                            <w:t>164</w:t>
                          </w:r>
                          <w:r>
                            <w:rPr>
                              <w:b/>
                              <w:bCs/>
                            </w:rPr>
                            <w:fldChar w:fldCharType="end"/>
                          </w:r>
                          <w:r>
                            <w:rPr>
                              <w:b/>
                              <w:bCs/>
                              <w:color w:val="000000"/>
                            </w:rPr>
                            <w:t xml:space="preserve"> </w:t>
                          </w:r>
                          <w:r>
                            <w:rPr>
                              <w:rFonts w:ascii="黑体" w:hAnsi="黑体" w:eastAsia="黑体" w:cs="黑体"/>
                              <w:color w:val="000000"/>
                              <w:sz w:val="18"/>
                              <w:szCs w:val="18"/>
                            </w:rPr>
                            <w:t>，，第三篇实验动物检测方法系列标准</w:t>
                          </w:r>
                        </w:p>
                      </w:txbxContent>
                    </wps:txbx>
                    <wps:bodyPr rot="0" vert="horz" wrap="none" lIns="0" tIns="0" rIns="0" bIns="0" anchor="t" anchorCtr="0" upright="1">
                      <a:spAutoFit/>
                    </wps:bodyPr>
                  </wps:wsp>
                </a:graphicData>
              </a:graphic>
            </wp:anchor>
          </w:drawing>
        </mc:Choice>
        <mc:Fallback>
          <w:pict>
            <v:shape id="Text Box 6" o:spid="_x0000_s1026" o:spt="202" type="#_x0000_t202" style="position:absolute;left:0pt;margin-left:44.65pt;margin-top:49.45pt;height:9.85pt;width:180.95pt;mso-position-horizontal-relative:page;mso-position-vertical-relative:page;mso-wrap-style:none;z-index:-251654144;mso-width-relative:page;mso-height-relative:page;" filled="f" stroked="f" coordsize="21600,21600" o:gfxdata="UEsDBAoAAAAAAIdO4kAAAAAAAAAAAAAAAAAEAAAAZHJzL1BLAwQUAAAACACHTuJAphkditYAAAAJ&#10;AQAADwAAAGRycy9kb3ducmV2LnhtbE2PMU/DMBCFdyT+g3VIbNRJgeKkcTpUYmGjICQ2N77GUe1z&#10;ZLtp8u8xE4yn9+m975rd7CybMMTBk4RyVQBD6rweqJfw+fH6IIDFpEgr6wklLBhh197eNKrW/krv&#10;OB1Sz3IJxVpJMCmNNeexM+hUXPkRKWcnH5xK+Qw910Fdc7mzfF0UG+7UQHnBqBH3Brvz4eIkvMxf&#10;HseIe/w+TV0wwyLs2yLl/V1ZbIElnNMfDL/6WR3a7HT0F9KRWQmiesykhEpUwHL+9FyugR0zWIoN&#10;8Lbh/z9ofwBQSwMEFAAAAAgAh07iQBwNenz7AQAAAgQAAA4AAABkcnMvZTJvRG9jLnhtbK1TTW/b&#10;MAy9D9h/EHRf7BhI0Bpxiq5BhgHdB9DuByiybAuzRIFSYme/fpQcZ1136WEXg6aox/ceqc3daHp2&#10;Uug12IovFzlnykqotW0r/uN5/+GGMx+ErUUPVlX8rDy/275/txlcqQrooK8VMgKxvhxcxbsQXJll&#10;XnbKCL8ApywdNoBGBPrFNqtRDIRu+qzI83U2ANYOQSrvKbubDvkFEd8CCE2jpdqBPBplw4SKqheB&#10;JPlOO8+3iW3TKBm+NY1XgfUVJ6UhfakJxYf4zbYbUbYoXKflhYJ4C4VXmozQlppeoXYiCHZE/Q+U&#10;0RLBQxMWEkw2CUmOkIpl/sqbp044lbSQ1d5dTff/D1Z+PX1HpuuKF5xZYWjgz2oM7COMbB3dGZwv&#10;qejJUVkYKU07k5R69wjyp2cWHjphW3WPCEOnRE3slvFm9uLqhOMjyGH4AjW1EccACWhs0ETryAxG&#10;6DSZ83UykYqkZFHc3uTrFWeSzpbFKr9dpRainG879OGTAsNiUHGkySd0cXr0IbIR5VwSm1nY675P&#10;0+/tXwkqjJnEPhKeqIfxMF7cOEB9Jh0I0zLRU6KgA/zF2UCLVHFL74az/rMlJ+LOzQHOwWEOhJV0&#10;seKBsyl8CNNuHh3qtiPc2et7cmuvk5Bo68ThwpJWI+m7rHHcvZf/qerP093+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YZHYrWAAAACQEAAA8AAAAAAAAAAQAgAAAAIgAAAGRycy9kb3ducmV2Lnht&#10;bFBLAQIUABQAAAAIAIdO4kAcDXp8+wEAAAIEAAAOAAAAAAAAAAEAIAAAACUBAABkcnMvZTJvRG9j&#10;LnhtbFBLBQYAAAAABgAGAFkBAACSBQAAAAA=&#10;">
              <v:fill on="f" focussize="0,0"/>
              <v:stroke on="f"/>
              <v:imagedata o:title=""/>
              <o:lock v:ext="edit" aspectratio="f"/>
              <v:textbox inset="0mm,0mm,0mm,0mm" style="mso-fit-shape-to-text:t;">
                <w:txbxContent>
                  <w:p w14:paraId="61B65D20">
                    <w:pPr>
                      <w:pStyle w:val="64"/>
                      <w:rPr>
                        <w:sz w:val="18"/>
                        <w:szCs w:val="18"/>
                      </w:rPr>
                    </w:pPr>
                    <w:r>
                      <w:fldChar w:fldCharType="begin"/>
                    </w:r>
                    <w:r>
                      <w:instrText xml:space="preserve"> PAGE \* MERGEFORMAT </w:instrText>
                    </w:r>
                    <w:r>
                      <w:fldChar w:fldCharType="separate"/>
                    </w:r>
                    <w:r>
                      <w:rPr>
                        <w:b/>
                        <w:bCs/>
                      </w:rPr>
                      <w:t>164</w:t>
                    </w:r>
                    <w:r>
                      <w:rPr>
                        <w:b/>
                        <w:bCs/>
                      </w:rPr>
                      <w:fldChar w:fldCharType="end"/>
                    </w:r>
                    <w:r>
                      <w:rPr>
                        <w:b/>
                        <w:bCs/>
                        <w:color w:val="000000"/>
                      </w:rPr>
                      <w:t xml:space="preserve"> </w:t>
                    </w:r>
                    <w:r>
                      <w:rPr>
                        <w:rFonts w:ascii="黑体" w:hAnsi="黑体" w:eastAsia="黑体" w:cs="黑体"/>
                        <w:color w:val="000000"/>
                        <w:sz w:val="18"/>
                        <w:szCs w:val="18"/>
                      </w:rPr>
                      <w:t>，，第三篇实验动物检测方法系列标准</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2ZjA5Mjc1NTEyZGY5OTFhMjI2ZWI2MTFlY2RlMTAifQ=="/>
  </w:docVars>
  <w:rsids>
    <w:rsidRoot w:val="00172A27"/>
    <w:rsid w:val="00034AD2"/>
    <w:rsid w:val="00051272"/>
    <w:rsid w:val="000619E6"/>
    <w:rsid w:val="0007376D"/>
    <w:rsid w:val="00081BF3"/>
    <w:rsid w:val="000B40C8"/>
    <w:rsid w:val="000C029A"/>
    <w:rsid w:val="000C2F2B"/>
    <w:rsid w:val="000D7B70"/>
    <w:rsid w:val="001136D1"/>
    <w:rsid w:val="00122E72"/>
    <w:rsid w:val="00125739"/>
    <w:rsid w:val="00133987"/>
    <w:rsid w:val="00172A27"/>
    <w:rsid w:val="00174CD7"/>
    <w:rsid w:val="0018360B"/>
    <w:rsid w:val="001C6EF9"/>
    <w:rsid w:val="001E6799"/>
    <w:rsid w:val="001F1AED"/>
    <w:rsid w:val="001F3624"/>
    <w:rsid w:val="0021234D"/>
    <w:rsid w:val="00217BCD"/>
    <w:rsid w:val="002278A3"/>
    <w:rsid w:val="00253980"/>
    <w:rsid w:val="00277A33"/>
    <w:rsid w:val="00280064"/>
    <w:rsid w:val="00295154"/>
    <w:rsid w:val="002C23EB"/>
    <w:rsid w:val="002E0C65"/>
    <w:rsid w:val="002E2182"/>
    <w:rsid w:val="002F298F"/>
    <w:rsid w:val="002F6FA4"/>
    <w:rsid w:val="00331B52"/>
    <w:rsid w:val="003452E1"/>
    <w:rsid w:val="00353D83"/>
    <w:rsid w:val="00376A9F"/>
    <w:rsid w:val="003C703B"/>
    <w:rsid w:val="003E0750"/>
    <w:rsid w:val="00421E09"/>
    <w:rsid w:val="00434AC0"/>
    <w:rsid w:val="004467E4"/>
    <w:rsid w:val="0044780F"/>
    <w:rsid w:val="0049343C"/>
    <w:rsid w:val="004C7363"/>
    <w:rsid w:val="004F11F4"/>
    <w:rsid w:val="00521D3E"/>
    <w:rsid w:val="005229ED"/>
    <w:rsid w:val="005B1018"/>
    <w:rsid w:val="005C16CA"/>
    <w:rsid w:val="005D2FE9"/>
    <w:rsid w:val="005D7B48"/>
    <w:rsid w:val="005E54B1"/>
    <w:rsid w:val="006006A3"/>
    <w:rsid w:val="00626FA2"/>
    <w:rsid w:val="00636E18"/>
    <w:rsid w:val="006B4DE1"/>
    <w:rsid w:val="006E41FA"/>
    <w:rsid w:val="006F4C01"/>
    <w:rsid w:val="00741223"/>
    <w:rsid w:val="007547AA"/>
    <w:rsid w:val="00757588"/>
    <w:rsid w:val="00773139"/>
    <w:rsid w:val="0079728C"/>
    <w:rsid w:val="007D2429"/>
    <w:rsid w:val="007E7DFF"/>
    <w:rsid w:val="007F1CD2"/>
    <w:rsid w:val="007F6485"/>
    <w:rsid w:val="008303E9"/>
    <w:rsid w:val="00845552"/>
    <w:rsid w:val="00850C08"/>
    <w:rsid w:val="00852C6F"/>
    <w:rsid w:val="0085760E"/>
    <w:rsid w:val="008729DC"/>
    <w:rsid w:val="00874495"/>
    <w:rsid w:val="00895D0E"/>
    <w:rsid w:val="008B6BCE"/>
    <w:rsid w:val="008E659E"/>
    <w:rsid w:val="00933D42"/>
    <w:rsid w:val="009442D8"/>
    <w:rsid w:val="00960693"/>
    <w:rsid w:val="009B5C0C"/>
    <w:rsid w:val="009C75AA"/>
    <w:rsid w:val="009D3DB7"/>
    <w:rsid w:val="009E6396"/>
    <w:rsid w:val="00A10A17"/>
    <w:rsid w:val="00A25F54"/>
    <w:rsid w:val="00A26404"/>
    <w:rsid w:val="00A32EE1"/>
    <w:rsid w:val="00A340D1"/>
    <w:rsid w:val="00A57C54"/>
    <w:rsid w:val="00A90CEE"/>
    <w:rsid w:val="00AA0D20"/>
    <w:rsid w:val="00AB3896"/>
    <w:rsid w:val="00AB77F0"/>
    <w:rsid w:val="00B27A6E"/>
    <w:rsid w:val="00B77743"/>
    <w:rsid w:val="00B939D6"/>
    <w:rsid w:val="00BA3594"/>
    <w:rsid w:val="00BB0EDF"/>
    <w:rsid w:val="00C04786"/>
    <w:rsid w:val="00C1653E"/>
    <w:rsid w:val="00CB24DC"/>
    <w:rsid w:val="00CB30D4"/>
    <w:rsid w:val="00D518B9"/>
    <w:rsid w:val="00D538A3"/>
    <w:rsid w:val="00DC2C3B"/>
    <w:rsid w:val="00DE02C4"/>
    <w:rsid w:val="00DE194A"/>
    <w:rsid w:val="00E07C6C"/>
    <w:rsid w:val="00E11056"/>
    <w:rsid w:val="00E47509"/>
    <w:rsid w:val="00E93B61"/>
    <w:rsid w:val="00EB6A6F"/>
    <w:rsid w:val="00EC0CBA"/>
    <w:rsid w:val="00EE281B"/>
    <w:rsid w:val="00EF7926"/>
    <w:rsid w:val="00F27DE0"/>
    <w:rsid w:val="00F5364F"/>
    <w:rsid w:val="00F56D41"/>
    <w:rsid w:val="00F67E67"/>
    <w:rsid w:val="00F77206"/>
    <w:rsid w:val="00F96A53"/>
    <w:rsid w:val="00F9758C"/>
    <w:rsid w:val="00FD1183"/>
    <w:rsid w:val="00FD67C5"/>
    <w:rsid w:val="00FE7A77"/>
    <w:rsid w:val="00FF46C8"/>
    <w:rsid w:val="01243261"/>
    <w:rsid w:val="03DE37AB"/>
    <w:rsid w:val="052D57C2"/>
    <w:rsid w:val="0B8C79A0"/>
    <w:rsid w:val="0E8C6E3E"/>
    <w:rsid w:val="0FBF2686"/>
    <w:rsid w:val="11FC7EAB"/>
    <w:rsid w:val="16FA57BE"/>
    <w:rsid w:val="25A07824"/>
    <w:rsid w:val="276B6C1D"/>
    <w:rsid w:val="2A902874"/>
    <w:rsid w:val="2A9E0A92"/>
    <w:rsid w:val="2CDD5276"/>
    <w:rsid w:val="2E7B5FA3"/>
    <w:rsid w:val="2F225285"/>
    <w:rsid w:val="3168799C"/>
    <w:rsid w:val="39671C70"/>
    <w:rsid w:val="4A184F40"/>
    <w:rsid w:val="4D4667D9"/>
    <w:rsid w:val="4F8970B8"/>
    <w:rsid w:val="522F60E5"/>
    <w:rsid w:val="53290751"/>
    <w:rsid w:val="54080CF8"/>
    <w:rsid w:val="57C56077"/>
    <w:rsid w:val="581F3B12"/>
    <w:rsid w:val="667F7682"/>
    <w:rsid w:val="68151D76"/>
    <w:rsid w:val="6923653C"/>
    <w:rsid w:val="6C115D0A"/>
    <w:rsid w:val="6C8F0F67"/>
    <w:rsid w:val="7AAE415C"/>
    <w:rsid w:val="7C175198"/>
    <w:rsid w:val="7D4F4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next w:val="1"/>
    <w:link w:val="28"/>
    <w:qFormat/>
    <w:uiPriority w:val="0"/>
    <w:pPr>
      <w:keepNext/>
      <w:spacing w:before="240" w:after="60"/>
      <w:outlineLvl w:val="0"/>
    </w:pPr>
    <w:rPr>
      <w:rFonts w:ascii="Cambria" w:hAnsi="Cambria"/>
      <w:b/>
      <w:bCs/>
      <w:kern w:val="32"/>
      <w:sz w:val="32"/>
      <w:szCs w:val="32"/>
      <w:lang w:bidi="ar-SA"/>
    </w:rPr>
  </w:style>
  <w:style w:type="paragraph" w:styleId="3">
    <w:name w:val="heading 2"/>
    <w:basedOn w:val="1"/>
    <w:next w:val="1"/>
    <w:link w:val="29"/>
    <w:qFormat/>
    <w:uiPriority w:val="0"/>
    <w:pPr>
      <w:keepNext/>
      <w:spacing w:before="240" w:after="60"/>
      <w:outlineLvl w:val="1"/>
    </w:pPr>
    <w:rPr>
      <w:rFonts w:ascii="Cambria" w:hAnsi="Cambria"/>
      <w:b/>
      <w:bCs/>
      <w:i/>
      <w:iCs/>
      <w:sz w:val="28"/>
      <w:szCs w:val="28"/>
      <w:lang w:bidi="ar-SA"/>
    </w:rPr>
  </w:style>
  <w:style w:type="paragraph" w:styleId="4">
    <w:name w:val="heading 3"/>
    <w:basedOn w:val="1"/>
    <w:next w:val="1"/>
    <w:link w:val="30"/>
    <w:qFormat/>
    <w:uiPriority w:val="0"/>
    <w:pPr>
      <w:keepNext/>
      <w:spacing w:before="240" w:after="60"/>
      <w:outlineLvl w:val="2"/>
    </w:pPr>
    <w:rPr>
      <w:rFonts w:ascii="Cambria" w:hAnsi="Cambria"/>
      <w:b/>
      <w:bCs/>
      <w:sz w:val="26"/>
      <w:szCs w:val="26"/>
      <w:lang w:bidi="ar-SA"/>
    </w:rPr>
  </w:style>
  <w:style w:type="paragraph" w:styleId="5">
    <w:name w:val="heading 4"/>
    <w:basedOn w:val="1"/>
    <w:next w:val="1"/>
    <w:link w:val="31"/>
    <w:qFormat/>
    <w:uiPriority w:val="0"/>
    <w:pPr>
      <w:keepNext/>
      <w:spacing w:before="240" w:after="60"/>
      <w:outlineLvl w:val="3"/>
    </w:pPr>
    <w:rPr>
      <w:b/>
      <w:bCs/>
      <w:sz w:val="28"/>
      <w:szCs w:val="28"/>
      <w:lang w:bidi="ar-SA"/>
    </w:rPr>
  </w:style>
  <w:style w:type="paragraph" w:styleId="6">
    <w:name w:val="heading 5"/>
    <w:basedOn w:val="1"/>
    <w:next w:val="1"/>
    <w:link w:val="32"/>
    <w:qFormat/>
    <w:uiPriority w:val="0"/>
    <w:pPr>
      <w:spacing w:before="240" w:after="60"/>
      <w:outlineLvl w:val="4"/>
    </w:pPr>
    <w:rPr>
      <w:b/>
      <w:bCs/>
      <w:i/>
      <w:iCs/>
      <w:sz w:val="26"/>
      <w:szCs w:val="26"/>
      <w:lang w:bidi="ar-SA"/>
    </w:rPr>
  </w:style>
  <w:style w:type="paragraph" w:styleId="7">
    <w:name w:val="heading 6"/>
    <w:basedOn w:val="1"/>
    <w:next w:val="1"/>
    <w:link w:val="33"/>
    <w:qFormat/>
    <w:uiPriority w:val="0"/>
    <w:pPr>
      <w:spacing w:before="240" w:after="60"/>
      <w:outlineLvl w:val="5"/>
    </w:pPr>
    <w:rPr>
      <w:b/>
      <w:bCs/>
      <w:sz w:val="20"/>
      <w:szCs w:val="20"/>
      <w:lang w:bidi="ar-SA"/>
    </w:rPr>
  </w:style>
  <w:style w:type="paragraph" w:styleId="8">
    <w:name w:val="heading 7"/>
    <w:basedOn w:val="1"/>
    <w:next w:val="1"/>
    <w:link w:val="34"/>
    <w:qFormat/>
    <w:uiPriority w:val="0"/>
    <w:pPr>
      <w:spacing w:before="240" w:after="60"/>
      <w:outlineLvl w:val="6"/>
    </w:pPr>
    <w:rPr>
      <w:lang w:bidi="ar-SA"/>
    </w:rPr>
  </w:style>
  <w:style w:type="paragraph" w:styleId="9">
    <w:name w:val="heading 8"/>
    <w:basedOn w:val="1"/>
    <w:next w:val="1"/>
    <w:link w:val="35"/>
    <w:qFormat/>
    <w:uiPriority w:val="0"/>
    <w:pPr>
      <w:spacing w:before="240" w:after="60"/>
      <w:outlineLvl w:val="7"/>
    </w:pPr>
    <w:rPr>
      <w:i/>
      <w:iCs/>
      <w:lang w:bidi="ar-SA"/>
    </w:rPr>
  </w:style>
  <w:style w:type="paragraph" w:styleId="10">
    <w:name w:val="heading 9"/>
    <w:basedOn w:val="1"/>
    <w:next w:val="1"/>
    <w:link w:val="36"/>
    <w:qFormat/>
    <w:uiPriority w:val="0"/>
    <w:pPr>
      <w:spacing w:before="240" w:after="60"/>
      <w:outlineLvl w:val="8"/>
    </w:pPr>
    <w:rPr>
      <w:rFonts w:ascii="Cambria" w:hAnsi="Cambria"/>
      <w:sz w:val="20"/>
      <w:szCs w:val="20"/>
      <w:lang w:bidi="ar-SA"/>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7"/>
    <w:qFormat/>
    <w:uiPriority w:val="0"/>
    <w:rPr>
      <w:sz w:val="21"/>
      <w:szCs w:val="21"/>
      <w:lang w:bidi="ar-SA"/>
    </w:rPr>
  </w:style>
  <w:style w:type="paragraph" w:styleId="12">
    <w:name w:val="Body Text"/>
    <w:basedOn w:val="1"/>
    <w:qFormat/>
    <w:uiPriority w:val="1"/>
    <w:rPr>
      <w:rFonts w:ascii="宋体" w:hAnsi="宋体" w:cs="宋体"/>
      <w:sz w:val="21"/>
      <w:szCs w:val="21"/>
    </w:rPr>
  </w:style>
  <w:style w:type="paragraph" w:styleId="13">
    <w:name w:val="Plain Text"/>
    <w:basedOn w:val="1"/>
    <w:link w:val="38"/>
    <w:qFormat/>
    <w:uiPriority w:val="0"/>
    <w:rPr>
      <w:rFonts w:ascii="宋体" w:hAnsi="Courier New"/>
      <w:sz w:val="21"/>
      <w:szCs w:val="21"/>
      <w:lang w:bidi="ar-SA"/>
    </w:rPr>
  </w:style>
  <w:style w:type="paragraph" w:styleId="14">
    <w:name w:val="Date"/>
    <w:basedOn w:val="1"/>
    <w:next w:val="1"/>
    <w:link w:val="39"/>
    <w:qFormat/>
    <w:uiPriority w:val="0"/>
    <w:pPr>
      <w:ind w:left="100" w:leftChars="2500"/>
    </w:pPr>
    <w:rPr>
      <w:sz w:val="21"/>
      <w:szCs w:val="21"/>
      <w:lang w:bidi="ar-SA"/>
    </w:rPr>
  </w:style>
  <w:style w:type="paragraph" w:styleId="15">
    <w:name w:val="Balloon Text"/>
    <w:basedOn w:val="1"/>
    <w:link w:val="40"/>
    <w:qFormat/>
    <w:uiPriority w:val="0"/>
    <w:rPr>
      <w:sz w:val="18"/>
      <w:szCs w:val="18"/>
      <w:lang w:bidi="ar-SA"/>
    </w:rPr>
  </w:style>
  <w:style w:type="paragraph" w:styleId="16">
    <w:name w:val="footer"/>
    <w:basedOn w:val="1"/>
    <w:link w:val="41"/>
    <w:qFormat/>
    <w:uiPriority w:val="0"/>
    <w:pPr>
      <w:tabs>
        <w:tab w:val="center" w:pos="4153"/>
        <w:tab w:val="right" w:pos="8306"/>
      </w:tabs>
      <w:snapToGrid w:val="0"/>
    </w:pPr>
    <w:rPr>
      <w:sz w:val="18"/>
      <w:szCs w:val="18"/>
      <w:lang w:bidi="ar-SA"/>
    </w:rPr>
  </w:style>
  <w:style w:type="paragraph" w:styleId="17">
    <w:name w:val="header"/>
    <w:basedOn w:val="1"/>
    <w:link w:val="42"/>
    <w:qFormat/>
    <w:uiPriority w:val="0"/>
    <w:pPr>
      <w:pBdr>
        <w:bottom w:val="single" w:color="auto" w:sz="6" w:space="1"/>
      </w:pBdr>
      <w:tabs>
        <w:tab w:val="center" w:pos="4153"/>
        <w:tab w:val="right" w:pos="8306"/>
      </w:tabs>
      <w:snapToGrid w:val="0"/>
      <w:jc w:val="center"/>
    </w:pPr>
    <w:rPr>
      <w:sz w:val="18"/>
      <w:szCs w:val="18"/>
      <w:lang w:bidi="ar-SA"/>
    </w:rPr>
  </w:style>
  <w:style w:type="paragraph" w:styleId="18">
    <w:name w:val="Subtitle"/>
    <w:basedOn w:val="1"/>
    <w:next w:val="1"/>
    <w:link w:val="43"/>
    <w:qFormat/>
    <w:uiPriority w:val="0"/>
    <w:pPr>
      <w:spacing w:after="60"/>
      <w:jc w:val="center"/>
      <w:outlineLvl w:val="1"/>
    </w:pPr>
    <w:rPr>
      <w:rFonts w:ascii="Cambria" w:hAnsi="Cambria"/>
      <w:lang w:bidi="ar-SA"/>
    </w:rPr>
  </w:style>
  <w:style w:type="paragraph" w:styleId="19">
    <w:name w:val="Title"/>
    <w:basedOn w:val="1"/>
    <w:next w:val="1"/>
    <w:link w:val="44"/>
    <w:qFormat/>
    <w:uiPriority w:val="0"/>
    <w:pPr>
      <w:spacing w:before="240" w:after="60"/>
      <w:jc w:val="center"/>
      <w:outlineLvl w:val="0"/>
    </w:pPr>
    <w:rPr>
      <w:rFonts w:ascii="Cambria" w:hAnsi="Cambria"/>
      <w:b/>
      <w:bCs/>
      <w:kern w:val="28"/>
      <w:sz w:val="32"/>
      <w:szCs w:val="32"/>
      <w:lang w:bidi="ar-SA"/>
    </w:rPr>
  </w:style>
  <w:style w:type="paragraph" w:styleId="20">
    <w:name w:val="annotation subject"/>
    <w:basedOn w:val="11"/>
    <w:next w:val="11"/>
    <w:qFormat/>
    <w:uiPriority w:val="0"/>
    <w:rPr>
      <w:rFonts w:ascii="Calibri" w:hAnsi="Calibri"/>
      <w:b/>
      <w:bCs/>
      <w:sz w:val="24"/>
      <w:szCs w:val="24"/>
    </w:rPr>
  </w:style>
  <w:style w:type="table" w:styleId="22">
    <w:name w:val="Table Grid"/>
    <w:basedOn w:val="2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b/>
      <w:bCs/>
    </w:rPr>
  </w:style>
  <w:style w:type="character" w:styleId="25">
    <w:name w:val="page number"/>
    <w:qFormat/>
    <w:uiPriority w:val="0"/>
    <w:rPr>
      <w:rFonts w:ascii="Times New Roman" w:hAnsi="Times New Roman" w:eastAsia="宋体"/>
      <w:sz w:val="18"/>
    </w:rPr>
  </w:style>
  <w:style w:type="character" w:styleId="26">
    <w:name w:val="Emphasis"/>
    <w:qFormat/>
    <w:uiPriority w:val="0"/>
    <w:rPr>
      <w:rFonts w:ascii="Calibri" w:hAnsi="Calibri"/>
      <w:b/>
      <w:i/>
      <w:iCs/>
    </w:rPr>
  </w:style>
  <w:style w:type="character" w:styleId="27">
    <w:name w:val="annotation reference"/>
    <w:qFormat/>
    <w:uiPriority w:val="0"/>
    <w:rPr>
      <w:sz w:val="21"/>
      <w:szCs w:val="21"/>
    </w:rPr>
  </w:style>
  <w:style w:type="character" w:customStyle="1" w:styleId="28">
    <w:name w:val="标题 1 Char"/>
    <w:link w:val="2"/>
    <w:qFormat/>
    <w:uiPriority w:val="0"/>
    <w:rPr>
      <w:rFonts w:ascii="Cambria" w:hAnsi="Cambria" w:eastAsia="宋体"/>
      <w:b/>
      <w:bCs/>
      <w:kern w:val="32"/>
      <w:sz w:val="32"/>
      <w:szCs w:val="32"/>
    </w:rPr>
  </w:style>
  <w:style w:type="character" w:customStyle="1" w:styleId="29">
    <w:name w:val="标题 2 Char"/>
    <w:link w:val="3"/>
    <w:qFormat/>
    <w:uiPriority w:val="0"/>
    <w:rPr>
      <w:rFonts w:ascii="Cambria" w:hAnsi="Cambria" w:eastAsia="宋体"/>
      <w:b/>
      <w:bCs/>
      <w:i/>
      <w:iCs/>
      <w:sz w:val="28"/>
      <w:szCs w:val="28"/>
    </w:rPr>
  </w:style>
  <w:style w:type="character" w:customStyle="1" w:styleId="30">
    <w:name w:val="标题 3 Char"/>
    <w:link w:val="4"/>
    <w:qFormat/>
    <w:uiPriority w:val="0"/>
    <w:rPr>
      <w:rFonts w:ascii="Cambria" w:hAnsi="Cambria" w:eastAsia="宋体"/>
      <w:b/>
      <w:bCs/>
      <w:sz w:val="26"/>
      <w:szCs w:val="26"/>
    </w:rPr>
  </w:style>
  <w:style w:type="character" w:customStyle="1" w:styleId="31">
    <w:name w:val="标题 4 Char"/>
    <w:link w:val="5"/>
    <w:qFormat/>
    <w:uiPriority w:val="0"/>
    <w:rPr>
      <w:b/>
      <w:bCs/>
      <w:sz w:val="28"/>
      <w:szCs w:val="28"/>
    </w:rPr>
  </w:style>
  <w:style w:type="character" w:customStyle="1" w:styleId="32">
    <w:name w:val="标题 5 Char"/>
    <w:link w:val="6"/>
    <w:qFormat/>
    <w:uiPriority w:val="0"/>
    <w:rPr>
      <w:b/>
      <w:bCs/>
      <w:i/>
      <w:iCs/>
      <w:sz w:val="26"/>
      <w:szCs w:val="26"/>
    </w:rPr>
  </w:style>
  <w:style w:type="character" w:customStyle="1" w:styleId="33">
    <w:name w:val="标题 6 Char"/>
    <w:link w:val="7"/>
    <w:qFormat/>
    <w:uiPriority w:val="0"/>
    <w:rPr>
      <w:b/>
      <w:bCs/>
    </w:rPr>
  </w:style>
  <w:style w:type="character" w:customStyle="1" w:styleId="34">
    <w:name w:val="标题 7 Char"/>
    <w:link w:val="8"/>
    <w:qFormat/>
    <w:uiPriority w:val="0"/>
    <w:rPr>
      <w:sz w:val="24"/>
      <w:szCs w:val="24"/>
    </w:rPr>
  </w:style>
  <w:style w:type="character" w:customStyle="1" w:styleId="35">
    <w:name w:val="标题 8 Char"/>
    <w:link w:val="9"/>
    <w:qFormat/>
    <w:uiPriority w:val="0"/>
    <w:rPr>
      <w:i/>
      <w:iCs/>
      <w:sz w:val="24"/>
      <w:szCs w:val="24"/>
    </w:rPr>
  </w:style>
  <w:style w:type="character" w:customStyle="1" w:styleId="36">
    <w:name w:val="标题 9 Char"/>
    <w:link w:val="10"/>
    <w:qFormat/>
    <w:uiPriority w:val="0"/>
    <w:rPr>
      <w:rFonts w:ascii="Cambria" w:hAnsi="Cambria" w:eastAsia="宋体"/>
    </w:rPr>
  </w:style>
  <w:style w:type="character" w:customStyle="1" w:styleId="37">
    <w:name w:val="批注文字 Char"/>
    <w:link w:val="11"/>
    <w:qFormat/>
    <w:uiPriority w:val="0"/>
    <w:rPr>
      <w:rFonts w:ascii="Times New Roman" w:hAnsi="Times New Roman" w:eastAsia="宋体" w:cs="Times New Roman"/>
      <w:sz w:val="21"/>
      <w:szCs w:val="21"/>
    </w:rPr>
  </w:style>
  <w:style w:type="character" w:customStyle="1" w:styleId="38">
    <w:name w:val="纯文本 Char"/>
    <w:link w:val="13"/>
    <w:qFormat/>
    <w:uiPriority w:val="0"/>
    <w:rPr>
      <w:rFonts w:ascii="宋体" w:hAnsi="Courier New" w:eastAsia="宋体" w:cs="宋体"/>
      <w:sz w:val="21"/>
      <w:szCs w:val="21"/>
    </w:rPr>
  </w:style>
  <w:style w:type="character" w:customStyle="1" w:styleId="39">
    <w:name w:val="日期 Char"/>
    <w:link w:val="14"/>
    <w:qFormat/>
    <w:uiPriority w:val="0"/>
    <w:rPr>
      <w:rFonts w:ascii="Times New Roman" w:hAnsi="Times New Roman" w:eastAsia="宋体" w:cs="Times New Roman"/>
      <w:sz w:val="21"/>
      <w:szCs w:val="21"/>
    </w:rPr>
  </w:style>
  <w:style w:type="character" w:customStyle="1" w:styleId="40">
    <w:name w:val="批注框文本 Char"/>
    <w:link w:val="15"/>
    <w:qFormat/>
    <w:uiPriority w:val="0"/>
    <w:rPr>
      <w:sz w:val="18"/>
      <w:szCs w:val="18"/>
    </w:rPr>
  </w:style>
  <w:style w:type="character" w:customStyle="1" w:styleId="41">
    <w:name w:val="页脚 Char"/>
    <w:link w:val="16"/>
    <w:qFormat/>
    <w:uiPriority w:val="0"/>
    <w:rPr>
      <w:rFonts w:ascii="Times New Roman" w:hAnsi="Times New Roman" w:eastAsia="宋体" w:cs="Times New Roman"/>
      <w:sz w:val="18"/>
      <w:szCs w:val="18"/>
    </w:rPr>
  </w:style>
  <w:style w:type="character" w:customStyle="1" w:styleId="42">
    <w:name w:val="页眉 Char"/>
    <w:link w:val="17"/>
    <w:qFormat/>
    <w:uiPriority w:val="0"/>
    <w:rPr>
      <w:rFonts w:ascii="Times New Roman" w:hAnsi="Times New Roman" w:eastAsia="宋体" w:cs="Times New Roman"/>
      <w:sz w:val="18"/>
      <w:szCs w:val="18"/>
    </w:rPr>
  </w:style>
  <w:style w:type="character" w:customStyle="1" w:styleId="43">
    <w:name w:val="副标题 Char"/>
    <w:link w:val="18"/>
    <w:qFormat/>
    <w:uiPriority w:val="0"/>
    <w:rPr>
      <w:rFonts w:ascii="Cambria" w:hAnsi="Cambria" w:eastAsia="宋体"/>
      <w:sz w:val="24"/>
      <w:szCs w:val="24"/>
    </w:rPr>
  </w:style>
  <w:style w:type="character" w:customStyle="1" w:styleId="44">
    <w:name w:val="标题 Char"/>
    <w:link w:val="19"/>
    <w:qFormat/>
    <w:uiPriority w:val="0"/>
    <w:rPr>
      <w:rFonts w:ascii="Cambria" w:hAnsi="Cambria" w:eastAsia="宋体"/>
      <w:b/>
      <w:bCs/>
      <w:kern w:val="28"/>
      <w:sz w:val="32"/>
      <w:szCs w:val="32"/>
    </w:rPr>
  </w:style>
  <w:style w:type="character" w:customStyle="1" w:styleId="45">
    <w:name w:val="Book Title"/>
    <w:qFormat/>
    <w:uiPriority w:val="0"/>
    <w:rPr>
      <w:rFonts w:ascii="Cambria" w:hAnsi="Cambria" w:eastAsia="宋体"/>
      <w:b/>
      <w:i/>
      <w:sz w:val="24"/>
      <w:szCs w:val="24"/>
    </w:rPr>
  </w:style>
  <w:style w:type="character" w:customStyle="1" w:styleId="46">
    <w:name w:val="引用 Char"/>
    <w:link w:val="47"/>
    <w:qFormat/>
    <w:uiPriority w:val="0"/>
    <w:rPr>
      <w:i/>
      <w:sz w:val="24"/>
      <w:szCs w:val="24"/>
    </w:rPr>
  </w:style>
  <w:style w:type="paragraph" w:styleId="47">
    <w:name w:val="Quote"/>
    <w:basedOn w:val="1"/>
    <w:next w:val="1"/>
    <w:link w:val="46"/>
    <w:qFormat/>
    <w:uiPriority w:val="0"/>
    <w:rPr>
      <w:i/>
      <w:lang w:bidi="ar-SA"/>
    </w:rPr>
  </w:style>
  <w:style w:type="character" w:customStyle="1" w:styleId="48">
    <w:name w:val="Subtle Emphasis"/>
    <w:qFormat/>
    <w:uiPriority w:val="0"/>
    <w:rPr>
      <w:i/>
      <w:color w:val="5A5A5A"/>
    </w:rPr>
  </w:style>
  <w:style w:type="character" w:customStyle="1" w:styleId="49">
    <w:name w:val="Intense Reference"/>
    <w:qFormat/>
    <w:uiPriority w:val="0"/>
    <w:rPr>
      <w:b/>
      <w:sz w:val="24"/>
      <w:u w:val="single"/>
    </w:rPr>
  </w:style>
  <w:style w:type="character" w:customStyle="1" w:styleId="50">
    <w:name w:val="Intense Emphasis"/>
    <w:qFormat/>
    <w:uiPriority w:val="0"/>
    <w:rPr>
      <w:b/>
      <w:i/>
      <w:sz w:val="24"/>
      <w:szCs w:val="24"/>
      <w:u w:val="single"/>
    </w:rPr>
  </w:style>
  <w:style w:type="character" w:customStyle="1" w:styleId="51">
    <w:name w:val="Subtle Reference"/>
    <w:qFormat/>
    <w:uiPriority w:val="0"/>
    <w:rPr>
      <w:sz w:val="24"/>
      <w:szCs w:val="24"/>
      <w:u w:val="single"/>
    </w:rPr>
  </w:style>
  <w:style w:type="character" w:customStyle="1" w:styleId="52">
    <w:name w:val="明显引用 Char"/>
    <w:link w:val="53"/>
    <w:qFormat/>
    <w:uiPriority w:val="0"/>
    <w:rPr>
      <w:b/>
      <w:i/>
      <w:sz w:val="24"/>
    </w:rPr>
  </w:style>
  <w:style w:type="paragraph" w:styleId="53">
    <w:name w:val="Intense Quote"/>
    <w:basedOn w:val="1"/>
    <w:next w:val="1"/>
    <w:link w:val="52"/>
    <w:qFormat/>
    <w:uiPriority w:val="0"/>
    <w:pPr>
      <w:ind w:left="720" w:right="720"/>
    </w:pPr>
    <w:rPr>
      <w:b/>
      <w:i/>
      <w:szCs w:val="20"/>
      <w:lang w:bidi="ar-SA"/>
    </w:rPr>
  </w:style>
  <w:style w:type="paragraph" w:styleId="54">
    <w:name w:val="List Paragraph"/>
    <w:basedOn w:val="1"/>
    <w:qFormat/>
    <w:uiPriority w:val="0"/>
    <w:pPr>
      <w:ind w:left="720"/>
    </w:pPr>
  </w:style>
  <w:style w:type="paragraph" w:customStyle="1" w:styleId="55">
    <w:name w:val="TOC Heading"/>
    <w:basedOn w:val="2"/>
    <w:next w:val="1"/>
    <w:qFormat/>
    <w:uiPriority w:val="0"/>
    <w:pPr>
      <w:outlineLvl w:val="9"/>
    </w:pPr>
  </w:style>
  <w:style w:type="paragraph" w:customStyle="1" w:styleId="5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57">
    <w:name w:val="No Spacing"/>
    <w:basedOn w:val="1"/>
    <w:qFormat/>
    <w:uiPriority w:val="0"/>
    <w:rPr>
      <w:szCs w:val="32"/>
    </w:rPr>
  </w:style>
  <w:style w:type="paragraph" w:customStyle="1" w:styleId="58">
    <w:name w:val="标准书脚_奇数页"/>
    <w:qFormat/>
    <w:uiPriority w:val="0"/>
    <w:pPr>
      <w:spacing w:before="120"/>
      <w:jc w:val="right"/>
    </w:pPr>
    <w:rPr>
      <w:rFonts w:ascii="Times New Roman" w:hAnsi="Times New Roman" w:eastAsia="宋体" w:cs="Times New Roman"/>
      <w:sz w:val="18"/>
      <w:lang w:val="en-US" w:eastAsia="zh-CN" w:bidi="ar-SA"/>
    </w:rPr>
  </w:style>
  <w:style w:type="character" w:customStyle="1" w:styleId="59">
    <w:name w:val="正文文本 (2)_"/>
    <w:basedOn w:val="23"/>
    <w:link w:val="60"/>
    <w:qFormat/>
    <w:uiPriority w:val="0"/>
    <w:rPr>
      <w:rFonts w:eastAsia="Times New Roman"/>
    </w:rPr>
  </w:style>
  <w:style w:type="paragraph" w:customStyle="1" w:styleId="60">
    <w:name w:val="正文文本 (2)"/>
    <w:basedOn w:val="1"/>
    <w:link w:val="59"/>
    <w:qFormat/>
    <w:uiPriority w:val="0"/>
    <w:pPr>
      <w:widowControl w:val="0"/>
      <w:spacing w:after="60"/>
      <w:ind w:firstLine="420"/>
    </w:pPr>
    <w:rPr>
      <w:rFonts w:eastAsia="Times New Roman"/>
      <w:sz w:val="20"/>
      <w:szCs w:val="20"/>
      <w:lang w:eastAsia="zh-CN" w:bidi="ar-SA"/>
    </w:rPr>
  </w:style>
  <w:style w:type="character" w:customStyle="1" w:styleId="61">
    <w:name w:val="正文文本_"/>
    <w:basedOn w:val="23"/>
    <w:link w:val="62"/>
    <w:qFormat/>
    <w:uiPriority w:val="0"/>
    <w:rPr>
      <w:rFonts w:ascii="宋体" w:hAnsi="宋体" w:eastAsia="宋体" w:cs="宋体"/>
      <w:lang w:val="zh-CN" w:bidi="zh-CN"/>
    </w:rPr>
  </w:style>
  <w:style w:type="paragraph" w:customStyle="1" w:styleId="62">
    <w:name w:val="正文文本1"/>
    <w:basedOn w:val="1"/>
    <w:link w:val="61"/>
    <w:qFormat/>
    <w:uiPriority w:val="0"/>
    <w:pPr>
      <w:widowControl w:val="0"/>
      <w:spacing w:line="329" w:lineRule="auto"/>
      <w:ind w:firstLine="200"/>
    </w:pPr>
    <w:rPr>
      <w:rFonts w:ascii="宋体" w:hAnsi="宋体" w:cs="宋体"/>
      <w:sz w:val="20"/>
      <w:szCs w:val="20"/>
      <w:lang w:val="zh-CN" w:eastAsia="zh-CN" w:bidi="zh-CN"/>
    </w:rPr>
  </w:style>
  <w:style w:type="character" w:customStyle="1" w:styleId="63">
    <w:name w:val="页眉或页脚 (2)_"/>
    <w:basedOn w:val="23"/>
    <w:link w:val="64"/>
    <w:qFormat/>
    <w:uiPriority w:val="0"/>
    <w:rPr>
      <w:rFonts w:eastAsia="Times New Roman"/>
      <w:lang w:val="zh-CN" w:bidi="zh-CN"/>
    </w:rPr>
  </w:style>
  <w:style w:type="paragraph" w:customStyle="1" w:styleId="64">
    <w:name w:val="页眉或页脚 (2)"/>
    <w:basedOn w:val="1"/>
    <w:link w:val="63"/>
    <w:qFormat/>
    <w:uiPriority w:val="0"/>
    <w:pPr>
      <w:widowControl w:val="0"/>
    </w:pPr>
    <w:rPr>
      <w:rFonts w:eastAsia="Times New Roman"/>
      <w:sz w:val="20"/>
      <w:szCs w:val="20"/>
      <w:lang w:val="zh-CN" w:eastAsia="zh-CN" w:bidi="zh-CN"/>
    </w:rPr>
  </w:style>
  <w:style w:type="character" w:customStyle="1" w:styleId="65">
    <w:name w:val="表格标题_"/>
    <w:basedOn w:val="23"/>
    <w:link w:val="66"/>
    <w:qFormat/>
    <w:uiPriority w:val="0"/>
    <w:rPr>
      <w:rFonts w:ascii="宋体" w:hAnsi="宋体" w:eastAsia="宋体" w:cs="宋体"/>
      <w:sz w:val="15"/>
      <w:szCs w:val="15"/>
      <w:lang w:val="zh-CN" w:bidi="zh-CN"/>
    </w:rPr>
  </w:style>
  <w:style w:type="paragraph" w:customStyle="1" w:styleId="66">
    <w:name w:val="表格标题"/>
    <w:basedOn w:val="1"/>
    <w:link w:val="65"/>
    <w:qFormat/>
    <w:uiPriority w:val="0"/>
    <w:pPr>
      <w:widowControl w:val="0"/>
    </w:pPr>
    <w:rPr>
      <w:rFonts w:ascii="宋体" w:hAnsi="宋体" w:cs="宋体"/>
      <w:sz w:val="15"/>
      <w:szCs w:val="15"/>
      <w:lang w:val="zh-CN" w:eastAsia="zh-CN" w:bidi="zh-CN"/>
    </w:rPr>
  </w:style>
  <w:style w:type="character" w:customStyle="1" w:styleId="67">
    <w:name w:val="其他_"/>
    <w:basedOn w:val="23"/>
    <w:link w:val="68"/>
    <w:qFormat/>
    <w:uiPriority w:val="0"/>
    <w:rPr>
      <w:rFonts w:ascii="宋体" w:hAnsi="宋体" w:eastAsia="宋体" w:cs="宋体"/>
    </w:rPr>
  </w:style>
  <w:style w:type="paragraph" w:customStyle="1" w:styleId="68">
    <w:name w:val="其他"/>
    <w:basedOn w:val="1"/>
    <w:link w:val="67"/>
    <w:qFormat/>
    <w:uiPriority w:val="0"/>
    <w:pPr>
      <w:widowControl w:val="0"/>
      <w:spacing w:line="329" w:lineRule="auto"/>
      <w:ind w:firstLine="200"/>
    </w:pPr>
    <w:rPr>
      <w:rFonts w:ascii="宋体" w:hAnsi="宋体" w:cs="宋体"/>
      <w:sz w:val="20"/>
      <w:szCs w:val="20"/>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nicpbp</Company>
  <Pages>7</Pages>
  <Words>2225</Words>
  <Characters>3370</Characters>
  <Lines>27</Lines>
  <Paragraphs>7</Paragraphs>
  <TotalTime>19</TotalTime>
  <ScaleCrop>false</ScaleCrop>
  <LinksUpToDate>false</LinksUpToDate>
  <CharactersWithSpaces>3700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2023-06-30T06:24:00Z</dcterms:created>
  <dc:creator>ypf</dc:creator>
  <cp:lastModifiedBy>耳东火华 </cp:lastModifiedBy>
  <cp:lastPrinted>2016-01-22T03:11:00Z</cp:lastPrinted>
  <dcterms:modified xsi:type="dcterms:W3CDTF">2024-07-19T02:19:54Z</dcterms:modified>
  <dc:title>ICS  65</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9D8607AB68344D7EB664D0E08C62B1D1_13</vt:lpwstr>
  </property>
</Properties>
</file>